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styles.xml" ContentType="application/vnd.openxmlformats-officedocument.wordprocessingml.styles+xml"/>
  <Override PartName="/word/media/image28.jpeg" ContentType="image/jpeg"/>
  <Override PartName="/word/media/image1.png" ContentType="image/png"/>
  <Override PartName="/word/media/image2.png" ContentType="image/png"/>
  <Override PartName="/word/media/image3.png" ContentType="image/png"/>
  <Override PartName="/word/media/image4.png" ContentType="image/png"/>
  <Override PartName="/word/media/image5.png" ContentType="image/png"/>
  <Override PartName="/word/media/image6.png" ContentType="image/png"/>
  <Override PartName="/word/media/image7.png" ContentType="image/png"/>
  <Override PartName="/word/media/image8.png" ContentType="image/png"/>
  <Override PartName="/word/media/image23.jpeg" ContentType="image/jpeg"/>
  <Override PartName="/word/media/image9.png" ContentType="image/png"/>
  <Override PartName="/word/media/image10.png" ContentType="image/png"/>
  <Override PartName="/word/media/image29.jpeg" ContentType="image/jpeg"/>
  <Override PartName="/word/media/image11.png" ContentType="image/png"/>
  <Override PartName="/word/media/image12.png" ContentType="image/png"/>
  <Override PartName="/word/media/image13.png" ContentType="image/png"/>
  <Override PartName="/word/media/image14.png" ContentType="image/png"/>
  <Override PartName="/word/media/image15.png" ContentType="image/png"/>
  <Override PartName="/word/media/image16.png" ContentType="image/png"/>
  <Override PartName="/word/media/image17.png" ContentType="image/png"/>
  <Override PartName="/word/media/image24.jpeg" ContentType="image/jpeg"/>
  <Override PartName="/word/media/image18.png" ContentType="image/png"/>
  <Override PartName="/word/media/image19.png" ContentType="image/png"/>
  <Override PartName="/word/media/image20.jpeg" ContentType="image/jpeg"/>
  <Override PartName="/word/media/image21.jpeg" ContentType="image/jpeg"/>
  <Override PartName="/word/media/image22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footer4.xml" ContentType="application/vnd.openxmlformats-officedocument.wordprocessingml.footer+xml"/>
  <Override PartName="/word/header2.xml" ContentType="application/vnd.openxmlformats-officedocument.wordprocessingml.head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er5.xml" ContentType="application/vnd.openxmlformats-officedocument.wordprocessingml.foot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6.xml" ContentType="application/vnd.openxmlformats-officedocument.wordprocessingml.foot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_rels/document.xml.rels" ContentType="application/vnd.openxmlformats-package.relationships+xml"/>
  <Override PartName="/customXml/item1.xml" ContentType="application/xml"/>
  <Override PartName="/customXml/itemProps1.xml" ContentType="application/vnd.openxmlformats-officedocument.customXmlProperties+xml"/>
  <Override PartName="/customXml/_rels/item1.xml.rels" ContentType="application/vnd.openxmlformats-package.relationship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tbl>
      <w:tblPr>
        <w:tblW w:w="5000" w:type="pct"/>
        <w:jc w:val="left"/>
        <w:tblInd w:w="0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0" w:lastRow="1" w:firstColumn="1" w:lastColumn="1" w:noHBand="0" w:val="01e0"/>
      </w:tblPr>
      <w:tblGrid>
        <w:gridCol w:w="1412"/>
        <w:gridCol w:w="1135"/>
        <w:gridCol w:w="482"/>
        <w:gridCol w:w="656"/>
        <w:gridCol w:w="3972"/>
        <w:gridCol w:w="1584"/>
      </w:tblGrid>
      <w:tr>
        <w:trPr>
          <w:trHeight w:val="233" w:hRule="atLeast"/>
        </w:trPr>
        <w:tc>
          <w:tcPr>
            <w:tcW w:w="92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</w:tcPr>
          <w:p>
            <w:pPr>
              <w:pStyle w:val="Normal"/>
              <w:spacing w:before="60" w:after="60"/>
              <w:jc w:val="center"/>
              <w:rPr>
                <w:rFonts w:ascii="Calibri" w:hAnsi="Calibri" w:cs="Calibri" w:asciiTheme="minorHAnsi" w:cstheme="minorHAnsi" w:hAnsiTheme="minorHAnsi"/>
                <w:b/>
                <w:bCs/>
                <w:color w:themeColor="background1" w:val="FFFFFF"/>
                <w:sz w:val="22"/>
                <w:szCs w:val="28"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bCs/>
                <w:sz w:val="22"/>
                <w:szCs w:val="28"/>
              </w:rPr>
              <w:t>PROJKEKT BUDOWLANY</w:t>
            </w:r>
          </w:p>
        </w:tc>
      </w:tr>
      <w:tr>
        <w:trPr>
          <w:trHeight w:val="1024" w:hRule="atLeast"/>
        </w:trPr>
        <w:tc>
          <w:tcPr>
            <w:tcW w:w="9241" w:type="dxa"/>
            <w:gridSpan w:val="6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before="60" w:after="60"/>
              <w:jc w:val="center"/>
              <w:rPr>
                <w:rFonts w:ascii="Calibri" w:hAnsi="Calibri" w:cs="Calibri" w:asciiTheme="minorHAnsi" w:cstheme="minorHAnsi" w:hAnsiTheme="minorHAnsi"/>
              </w:rPr>
            </w:pPr>
            <w:r>
              <w:rPr>
                <w:rFonts w:cs="Calibri" w:cstheme="minorHAnsi" w:ascii="Calibri" w:hAnsi="Calibri"/>
              </w:rPr>
            </w:r>
          </w:p>
          <w:p>
            <w:pPr>
              <w:pStyle w:val="Normal"/>
              <w:jc w:val="center"/>
              <w:rPr>
                <w:rFonts w:ascii="Calibri" w:hAnsi="Calibri" w:cs="Calibri" w:asciiTheme="minorHAnsi" w:cstheme="minorHAnsi" w:hAnsiTheme="minorHAnsi"/>
              </w:rPr>
            </w:pPr>
            <w:r>
              <w:rPr>
                <w:rFonts w:cs="Calibri" w:cstheme="minorHAnsi" w:ascii="Calibri" w:hAnsi="Calibri"/>
              </w:rPr>
            </w:r>
          </w:p>
          <w:p>
            <w:pPr>
              <w:pStyle w:val="Normal"/>
              <w:jc w:val="center"/>
              <w:rPr>
                <w:rFonts w:ascii="Calibri" w:hAnsi="Calibri" w:cs="Calibri" w:asciiTheme="minorHAnsi" w:cstheme="minorHAnsi" w:hAnsiTheme="minorHAnsi"/>
              </w:rPr>
            </w:pPr>
            <w:r>
              <w:rPr/>
              <w:drawing>
                <wp:inline distT="0" distB="0" distL="0" distR="0">
                  <wp:extent cx="1041400" cy="741680"/>
                  <wp:effectExtent l="0" t="0" r="0" b="0"/>
                  <wp:docPr id="1" name="Obraz 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raz 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400" cy="74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Normal"/>
              <w:jc w:val="center"/>
              <w:rPr>
                <w:rFonts w:ascii="Calibri" w:hAnsi="Calibri" w:cs="Calibri" w:asciiTheme="minorHAnsi" w:cstheme="minorHAnsi" w:hAnsiTheme="minorHAnsi"/>
              </w:rPr>
            </w:pPr>
            <w:r>
              <w:rPr>
                <w:rFonts w:cs="Calibri" w:cstheme="minorHAnsi" w:ascii="Calibri" w:hAnsi="Calibri"/>
              </w:rPr>
            </w:r>
          </w:p>
          <w:p>
            <w:pPr>
              <w:pStyle w:val="Normal"/>
              <w:spacing w:before="60" w:after="60"/>
              <w:jc w:val="center"/>
              <w:rPr>
                <w:rFonts w:ascii="Calibri" w:hAnsi="Calibri" w:cs="Calibri" w:asciiTheme="minorHAnsi" w:cstheme="minorHAnsi" w:hAnsiTheme="minorHAnsi"/>
              </w:rPr>
            </w:pPr>
            <w:r>
              <w:rPr>
                <w:rFonts w:cs="Calibri" w:cstheme="minorHAnsi" w:ascii="Calibri" w:hAnsi="Calibri"/>
              </w:rPr>
            </w:r>
          </w:p>
        </w:tc>
      </w:tr>
      <w:tr>
        <w:trPr>
          <w:trHeight w:val="323" w:hRule="atLeast"/>
        </w:trPr>
        <w:tc>
          <w:tcPr>
            <w:tcW w:w="92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center"/>
          </w:tcPr>
          <w:p>
            <w:pPr>
              <w:pStyle w:val="Normal"/>
              <w:spacing w:before="60" w:after="60"/>
              <w:jc w:val="center"/>
              <w:rPr>
                <w:rFonts w:ascii="Calibri" w:hAnsi="Calibri" w:cs="Calibri" w:asciiTheme="minorHAnsi" w:cstheme="minorHAnsi" w:hAnsiTheme="minorHAnsi"/>
                <w:b/>
                <w:bCs/>
              </w:rPr>
            </w:pPr>
            <w:r>
              <w:rPr>
                <w:rFonts w:cs="Calibri" w:ascii="Calibri" w:hAnsi="Calibri" w:asciiTheme="minorHAnsi" w:cstheme="minorHAnsi" w:hAnsiTheme="minorHAnsi"/>
                <w:b/>
                <w:bCs/>
              </w:rPr>
              <w:t>JEDNOSTKA PROJEKTOWANIA</w:t>
            </w:r>
          </w:p>
        </w:tc>
      </w:tr>
      <w:tr>
        <w:trPr>
          <w:trHeight w:val="1024" w:hRule="atLeast"/>
        </w:trPr>
        <w:tc>
          <w:tcPr>
            <w:tcW w:w="92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Normal"/>
              <w:spacing w:before="0" w:after="0"/>
              <w:ind w:left="0"/>
              <w:jc w:val="center"/>
              <w:rPr>
                <w:rFonts w:ascii="Calibri" w:hAnsi="Calibri" w:cs="Calibri" w:asciiTheme="minorHAnsi" w:cstheme="minorHAnsi" w:hAnsiTheme="minorHAnsi"/>
                <w:lang w:val="it-IT"/>
              </w:rPr>
            </w:pPr>
            <w:r>
              <w:rPr>
                <w:rFonts w:cs="Calibri" w:ascii="Calibri" w:hAnsi="Calibri" w:asciiTheme="minorHAnsi" w:cstheme="minorHAnsi" w:hAnsiTheme="minorHAnsi"/>
                <w:lang w:val="it-IT"/>
              </w:rPr>
              <w:t>MATERIA WNĘTRZ</w:t>
            </w:r>
          </w:p>
          <w:p>
            <w:pPr>
              <w:pStyle w:val="Normal"/>
              <w:spacing w:before="0" w:after="0"/>
              <w:ind w:left="0"/>
              <w:jc w:val="center"/>
              <w:rPr>
                <w:rFonts w:ascii="Calibri" w:hAnsi="Calibri" w:cs="Calibri" w:asciiTheme="minorHAnsi" w:cstheme="minorHAnsi" w:hAnsiTheme="minorHAnsi"/>
                <w:lang w:val="it-IT"/>
              </w:rPr>
            </w:pPr>
            <w:r>
              <w:rPr>
                <w:rFonts w:cs="Calibri" w:ascii="Calibri" w:hAnsi="Calibri" w:asciiTheme="minorHAnsi" w:cstheme="minorHAnsi" w:hAnsiTheme="minorHAnsi"/>
                <w:lang w:val="it-IT"/>
              </w:rPr>
              <w:t>Ul. Wygonowa 5, 62-400 Słupca</w:t>
            </w:r>
          </w:p>
          <w:p>
            <w:pPr>
              <w:pStyle w:val="Normal"/>
              <w:spacing w:before="0" w:after="0"/>
              <w:ind w:left="0"/>
              <w:jc w:val="center"/>
              <w:rPr>
                <w:rFonts w:ascii="Calibri" w:hAnsi="Calibri" w:cs="Calibri" w:asciiTheme="minorHAnsi" w:cstheme="minorHAnsi" w:hAnsiTheme="minorHAnsi"/>
                <w:lang w:val="it-IT"/>
              </w:rPr>
            </w:pPr>
            <w:r>
              <w:rPr>
                <w:rFonts w:cs="Calibri" w:ascii="Calibri" w:hAnsi="Calibri" w:asciiTheme="minorHAnsi" w:cstheme="minorHAnsi" w:hAnsiTheme="minorHAnsi"/>
                <w:lang w:val="it-IT"/>
              </w:rPr>
              <w:t>maja@materiawnetrz.pl</w:t>
            </w:r>
          </w:p>
          <w:p>
            <w:pPr>
              <w:pStyle w:val="Normal"/>
              <w:spacing w:before="0" w:after="0"/>
              <w:ind w:left="0"/>
              <w:jc w:val="center"/>
              <w:rPr>
                <w:rFonts w:ascii="Calibri" w:hAnsi="Calibri" w:cs="Calibri" w:asciiTheme="minorHAnsi" w:cstheme="minorHAnsi" w:hAnsiTheme="minorHAnsi"/>
                <w:lang w:val="it-IT"/>
              </w:rPr>
            </w:pPr>
            <w:r>
              <w:rPr>
                <w:rFonts w:cs="Calibri" w:ascii="Calibri" w:hAnsi="Calibri" w:asciiTheme="minorHAnsi" w:cstheme="minorHAnsi" w:hAnsiTheme="minorHAnsi"/>
                <w:lang w:val="it-IT"/>
              </w:rPr>
              <w:t>+48 530 852 070</w:t>
            </w:r>
          </w:p>
        </w:tc>
      </w:tr>
      <w:tr>
        <w:trPr>
          <w:trHeight w:val="294" w:hRule="atLeast"/>
        </w:trPr>
        <w:tc>
          <w:tcPr>
            <w:tcW w:w="3029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jc w:val="center"/>
              <w:rPr>
                <w:rFonts w:ascii="Calibri" w:hAnsi="Calibri" w:cs="Calibri" w:asciiTheme="minorHAnsi" w:cstheme="minorHAnsi" w:hAnsiTheme="minorHAnsi"/>
              </w:rPr>
            </w:pPr>
            <w:r>
              <w:rPr>
                <w:rFonts w:cs="Calibri" w:cstheme="minorHAnsi"/>
              </w:rPr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bottom w:val="single" w:sz="4" w:space="0" w:color="000000"/>
            </w:tcBorders>
          </w:tcPr>
          <w:p>
            <w:pPr>
              <w:pStyle w:val="Normal"/>
              <w:spacing w:before="0" w:after="0"/>
              <w:ind w:left="0"/>
              <w:jc w:val="center"/>
              <w:rPr>
                <w:rFonts w:ascii="Calibri" w:hAnsi="Calibri" w:cs="Calibri" w:asciiTheme="minorHAnsi" w:cstheme="minorHAnsi" w:hAnsiTheme="minorHAnsi"/>
                <w:lang w:val="it-IT"/>
              </w:rPr>
            </w:pPr>
            <w:r>
              <w:rPr>
                <w:rFonts w:cs="Calibri" w:cstheme="minorHAnsi" w:ascii="Calibri" w:hAnsi="Calibri"/>
                <w:lang w:val="it-IT"/>
              </w:rPr>
            </w:r>
          </w:p>
        </w:tc>
      </w:tr>
      <w:tr>
        <w:trPr>
          <w:trHeight w:val="233" w:hRule="atLeast"/>
        </w:trPr>
        <w:tc>
          <w:tcPr>
            <w:tcW w:w="9241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</w:tcPr>
          <w:p>
            <w:pPr>
              <w:pStyle w:val="Normal"/>
              <w:spacing w:before="60" w:after="60"/>
              <w:jc w:val="center"/>
              <w:rPr>
                <w:rFonts w:ascii="Calibri" w:hAnsi="Calibri" w:cs="Calibri" w:asciiTheme="minorHAnsi" w:cstheme="minorHAnsi" w:hAnsiTheme="minorHAnsi"/>
                <w:b/>
                <w:bCs/>
                <w:color w:themeColor="background1" w:val="FFFFFF"/>
                <w:sz w:val="22"/>
              </w:rPr>
            </w:pPr>
            <w:r>
              <w:rPr>
                <w:rStyle w:val="Strong"/>
                <w:rFonts w:cs="Calibri" w:ascii="Calibri" w:hAnsi="Calibri" w:asciiTheme="minorHAnsi" w:cstheme="minorHAnsi" w:hAnsiTheme="minorHAnsi"/>
                <w:color w:val="auto"/>
                <w:sz w:val="22"/>
                <w:szCs w:val="22"/>
              </w:rPr>
              <w:t>ELEMENT 1.  PZT - PROJEKT ZAGOSPODAROWANIA TERENU</w:t>
            </w:r>
          </w:p>
        </w:tc>
      </w:tr>
      <w:tr>
        <w:trPr>
          <w:trHeight w:val="352" w:hRule="atLeast"/>
        </w:trPr>
        <w:tc>
          <w:tcPr>
            <w:tcW w:w="3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NAZWA ZAMIERZENIA BUDOWLANEGO:</w:t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Rozbiórka istniejącego budynku świetlicy wiejskiej oraz budowa Wiejskiego Centrum Kultury wraz z infrastrukturą towarzyszącą</w:t>
            </w:r>
          </w:p>
        </w:tc>
      </w:tr>
      <w:tr>
        <w:trPr/>
        <w:tc>
          <w:tcPr>
            <w:tcW w:w="3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ADRES OBIEKTU BUDOWLANEGO:</w:t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62-402 Lipnica</w:t>
            </w:r>
          </w:p>
        </w:tc>
      </w:tr>
      <w:tr>
        <w:trPr/>
        <w:tc>
          <w:tcPr>
            <w:tcW w:w="3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KATEGORIA OBIEKTÓW BUD.:</w:t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IX</w:t>
            </w:r>
          </w:p>
        </w:tc>
      </w:tr>
      <w:tr>
        <w:trPr/>
        <w:tc>
          <w:tcPr>
            <w:tcW w:w="3029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</w:r>
          </w:p>
        </w:tc>
      </w:tr>
      <w:tr>
        <w:trPr>
          <w:trHeight w:val="343" w:hRule="atLeast"/>
        </w:trPr>
        <w:tc>
          <w:tcPr>
            <w:tcW w:w="3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IDENTYFIKATORY DZIAŁEK EWIDENCYJNYCH:</w:t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302304_2.0010.26/1</w:t>
            </w:r>
          </w:p>
        </w:tc>
      </w:tr>
      <w:tr>
        <w:trPr>
          <w:trHeight w:val="703" w:hRule="atLeast"/>
        </w:trPr>
        <w:tc>
          <w:tcPr>
            <w:tcW w:w="3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JEDNOSTKA EWIDENCYJNA I OBRĘB ORAZ NUMERY EWIDENCYJNE DZIAŁEK:</w:t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302304_2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Obręb 0010 Lipnica,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numer działki 26/1</w:t>
            </w:r>
          </w:p>
        </w:tc>
      </w:tr>
      <w:tr>
        <w:trPr/>
        <w:tc>
          <w:tcPr>
            <w:tcW w:w="3029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</w:r>
          </w:p>
        </w:tc>
      </w:tr>
      <w:tr>
        <w:trPr/>
        <w:tc>
          <w:tcPr>
            <w:tcW w:w="30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NAZWA I ADRES INWESTORA:</w:t>
            </w:r>
          </w:p>
        </w:tc>
        <w:tc>
          <w:tcPr>
            <w:tcW w:w="621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Gmina Ostrowite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ul. Lipowa 2,62-402 Ostrowite</w:t>
            </w:r>
          </w:p>
        </w:tc>
      </w:tr>
      <w:tr>
        <w:trPr/>
        <w:tc>
          <w:tcPr>
            <w:tcW w:w="9241" w:type="dxa"/>
            <w:gridSpan w:val="6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</w:rPr>
            </w:pPr>
            <w:r>
              <w:rPr>
                <w:rFonts w:cs="Calibri" w:cstheme="minorHAnsi"/>
              </w:rPr>
            </w:r>
          </w:p>
        </w:tc>
      </w:tr>
      <w:tr>
        <w:trPr/>
        <w:tc>
          <w:tcPr>
            <w:tcW w:w="7657" w:type="dxa"/>
            <w:gridSpan w:val="5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</w:rPr>
            </w:pPr>
            <w:r>
              <w:rPr>
                <w:rFonts w:cs="Calibri" w:cstheme="minorHAnsi"/>
                <w:b/>
                <w:bCs/>
                <w:color w:val="auto"/>
              </w:rPr>
              <w:t>DATA OPRACOWANIA I SPRAWDZENIA PROJEKTU:</w:t>
            </w:r>
          </w:p>
        </w:tc>
        <w:tc>
          <w:tcPr>
            <w:tcW w:w="1584" w:type="dxa"/>
            <w:tcBorders>
              <w:top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</w:rPr>
            </w:pPr>
            <w:r>
              <w:rPr>
                <w:rFonts w:cs="Calibri" w:cstheme="minorHAnsi"/>
                <w:b/>
                <w:bCs/>
                <w:color w:val="auto"/>
              </w:rPr>
              <w:t>19.11.2024 r.</w:t>
            </w:r>
          </w:p>
        </w:tc>
      </w:tr>
      <w:tr>
        <w:trPr>
          <w:trHeight w:val="424" w:hRule="atLeast"/>
          <w:cantSplit w:val="true"/>
        </w:trPr>
        <w:tc>
          <w:tcPr>
            <w:tcW w:w="14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BRANŻA</w:t>
            </w:r>
          </w:p>
        </w:tc>
        <w:tc>
          <w:tcPr>
            <w:tcW w:w="22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PROJEKTANT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NR UPRAWNIEŃ ORAZ SPECJALNOŚĆ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PODPIS</w:t>
            </w:r>
          </w:p>
        </w:tc>
      </w:tr>
      <w:tr>
        <w:trPr>
          <w:trHeight w:val="544" w:hRule="atLeast"/>
          <w:cantSplit w:val="true"/>
        </w:trPr>
        <w:tc>
          <w:tcPr>
            <w:tcW w:w="14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architektura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projektował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Katarzyna Janas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upr. bud. 39/WPOKK/2017</w:t>
              <w:br/>
              <w:t>do projektowania bez ograniczeń w specjaln. archit.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</w:r>
          </w:p>
        </w:tc>
      </w:tr>
      <w:tr>
        <w:trPr>
          <w:trHeight w:val="660" w:hRule="atLeast"/>
          <w:cantSplit w:val="true"/>
        </w:trPr>
        <w:tc>
          <w:tcPr>
            <w:tcW w:w="141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sprawdził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Szymon Radzikowski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upr. bud. 49/WPOKK/2018</w:t>
              <w:br/>
              <w:t>do projektowania bez ograniczeń w specjaln. archit.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sz w:val="16"/>
                <w:szCs w:val="16"/>
              </w:rPr>
            </w:r>
          </w:p>
        </w:tc>
      </w:tr>
      <w:tr>
        <w:trPr>
          <w:trHeight w:val="1188" w:hRule="atLeast"/>
          <w:cantSplit w:val="true"/>
        </w:trPr>
        <w:tc>
          <w:tcPr>
            <w:tcW w:w="14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inst. sanitarne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projektował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 xml:space="preserve"> </w:t>
            </w:r>
            <w:r>
              <w:rPr>
                <w:rFonts w:cs="Calibri" w:cstheme="minorHAnsi"/>
                <w:color w:val="auto"/>
                <w:sz w:val="16"/>
                <w:szCs w:val="16"/>
              </w:rPr>
              <w:t>Tomasz Magdziarz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upr. bud WKP/0148/POOS/16</w:t>
              <w:br/>
              <w:t>do projektowania bez ograniczeń w specjaln. instalacyjnej w zakresie sieci, instalacji i urządzeń cieplnych, wentylacyjnych, gazowych, wodociągowych i kanalizacyjnych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sz w:val="16"/>
                <w:szCs w:val="16"/>
              </w:rPr>
            </w:r>
          </w:p>
        </w:tc>
      </w:tr>
      <w:tr>
        <w:trPr>
          <w:trHeight w:val="1145" w:hRule="atLeast"/>
          <w:cantSplit w:val="true"/>
        </w:trPr>
        <w:tc>
          <w:tcPr>
            <w:tcW w:w="141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sz w:val="16"/>
                <w:szCs w:val="16"/>
              </w:rPr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sprawdził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Marcin Woźniak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upr. bud WKP/0151/POOS/17</w:t>
              <w:br/>
              <w:t>do projektowania bez ograniczeń w specjaln. instalacyjnej w zakresie sieci, instalacji i urządzeń cieplnych, wentylacyjnych, gazowych, wodociągowych i kanalizacyjnych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sz w:val="16"/>
                <w:szCs w:val="16"/>
              </w:rPr>
            </w:r>
          </w:p>
        </w:tc>
      </w:tr>
      <w:tr>
        <w:trPr>
          <w:trHeight w:val="722" w:hRule="atLeast"/>
          <w:cantSplit w:val="true"/>
        </w:trPr>
        <w:tc>
          <w:tcPr>
            <w:tcW w:w="141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Inst. elektryczne</w:t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projektował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Marek Tomala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upr. bud.  WKP/0216/POOE/18</w:t>
              <w:br/>
              <w:t>upr. bud. w specjalności elektrycznej</w:t>
              <w:br/>
              <w:t>do projektowania bez ograniczeń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sz w:val="16"/>
                <w:szCs w:val="16"/>
              </w:rPr>
            </w:r>
          </w:p>
        </w:tc>
      </w:tr>
      <w:tr>
        <w:trPr>
          <w:trHeight w:val="439" w:hRule="atLeast"/>
          <w:cantSplit w:val="true"/>
        </w:trPr>
        <w:tc>
          <w:tcPr>
            <w:tcW w:w="1412" w:type="dxa"/>
            <w:vMerge w:val="continue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Cs w:val="18"/>
              </w:rPr>
            </w:pPr>
            <w:r>
              <w:rPr>
                <w:rFonts w:cs="Calibri" w:cstheme="minorHAnsi"/>
                <w:szCs w:val="18"/>
              </w:rPr>
            </w:r>
          </w:p>
        </w:tc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sprawdził</w:t>
            </w:r>
          </w:p>
        </w:tc>
        <w:tc>
          <w:tcPr>
            <w:tcW w:w="113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Marek Józefowski</w:t>
            </w:r>
          </w:p>
        </w:tc>
        <w:tc>
          <w:tcPr>
            <w:tcW w:w="39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16"/>
                <w:szCs w:val="16"/>
              </w:rPr>
            </w:pPr>
            <w:r>
              <w:rPr>
                <w:rFonts w:cs="Calibri" w:cstheme="minorHAnsi"/>
                <w:color w:val="auto"/>
                <w:sz w:val="16"/>
                <w:szCs w:val="16"/>
              </w:rPr>
              <w:t>upr. bud.  WKP/0384/POOE/12</w:t>
              <w:br/>
              <w:t>upr. bud. w specjalności elektrycznej</w:t>
              <w:br/>
              <w:t>do projektowania bez ograniczeń</w:t>
            </w:r>
          </w:p>
        </w:tc>
        <w:tc>
          <w:tcPr>
            <w:tcW w:w="15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Cs w:val="18"/>
              </w:rPr>
            </w:pPr>
            <w:r>
              <w:rPr>
                <w:rFonts w:cs="Calibri" w:cstheme="minorHAnsi"/>
                <w:szCs w:val="18"/>
              </w:rPr>
            </w:r>
            <w:bookmarkStart w:id="0" w:name="_Hlk178084422"/>
            <w:bookmarkStart w:id="1" w:name="_Hlk178084422"/>
            <w:bookmarkEnd w:id="1"/>
          </w:p>
        </w:tc>
      </w:tr>
    </w:tbl>
    <w:p>
      <w:pPr>
        <w:pStyle w:val="Normal"/>
        <w:spacing w:lineRule="auto" w:line="259" w:before="0" w:after="160"/>
        <w:ind w:left="0"/>
        <w:rPr>
          <w:rFonts w:ascii="Calibri" w:hAnsi="Calibri" w:cs="Calibri" w:asciiTheme="minorHAnsi" w:cstheme="minorHAnsi" w:hAnsiTheme="minorHAnsi"/>
        </w:rPr>
      </w:pPr>
      <w:r>
        <w:rPr>
          <w:rFonts w:cs="Calibri" w:cstheme="minorHAnsi" w:ascii="Calibri" w:hAnsi="Calibri"/>
        </w:rPr>
      </w:r>
      <w:bookmarkStart w:id="2" w:name="_Toc52561090"/>
      <w:bookmarkStart w:id="3" w:name="_Toc393105639"/>
      <w:bookmarkStart w:id="4" w:name="_Hlk54884458"/>
      <w:bookmarkStart w:id="5" w:name="_Toc52561090"/>
      <w:bookmarkStart w:id="6" w:name="_Toc393105639"/>
      <w:bookmarkStart w:id="7" w:name="_Hlk54884458"/>
      <w:bookmarkEnd w:id="5"/>
      <w:bookmarkEnd w:id="6"/>
      <w:bookmarkEnd w:id="7"/>
      <w:r>
        <w:br w:type="page"/>
      </w:r>
    </w:p>
    <w:tbl>
      <w:tblPr>
        <w:tblStyle w:val="Tabela-Siatka"/>
        <w:tblW w:w="9094" w:type="dxa"/>
        <w:jc w:val="left"/>
        <w:tblInd w:w="1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9094"/>
      </w:tblGrid>
      <w:tr>
        <w:trPr/>
        <w:tc>
          <w:tcPr>
            <w:tcW w:w="9094" w:type="dxa"/>
            <w:tcBorders/>
            <w:shd w:color="auto" w:fill="E7E6E6" w:themeFill="background2" w:val="clear"/>
          </w:tcPr>
          <w:p>
            <w:pPr>
              <w:pStyle w:val="GPPCZESC2"/>
              <w:pageBreakBefore/>
              <w:widowControl/>
              <w:numPr>
                <w:ilvl w:val="0"/>
                <w:numId w:val="0"/>
              </w:numPr>
              <w:suppressAutoHyphens w:val="true"/>
              <w:spacing w:before="0" w:after="120"/>
              <w:ind w:hanging="0" w:left="567"/>
              <w:jc w:val="center"/>
              <w:rPr>
                <w:rStyle w:val="Strong"/>
                <w:b/>
                <w:bCs/>
                <w:sz w:val="22"/>
                <w:szCs w:val="22"/>
              </w:rPr>
            </w:pPr>
            <w:bookmarkStart w:id="8" w:name="__RefHeading___Toc6100_1558697229"/>
            <w:bookmarkStart w:id="9" w:name="_Toc185760954"/>
            <w:bookmarkEnd w:id="8"/>
            <w:r>
              <w:rPr>
                <w:rStyle w:val="Strong"/>
                <w:b/>
                <w:bCs/>
                <w:color w:val="auto"/>
                <w:kern w:val="0"/>
                <w:sz w:val="22"/>
                <w:szCs w:val="22"/>
                <w:lang w:val="pl-PL" w:eastAsia="en-US" w:bidi="ar-SA"/>
              </w:rPr>
              <w:t>ZAŁĄCZNIK DO STRONY TYTUŁOWEJ: SPIS TREŚCI</w:t>
            </w:r>
            <w:bookmarkEnd w:id="9"/>
          </w:p>
        </w:tc>
      </w:tr>
    </w:tbl>
    <w:sdt>
      <w:sdtPr>
        <w:docPartObj>
          <w:docPartGallery w:val="Table of Contents"/>
          <w:docPartUnique w:val="true"/>
        </w:docPartObj>
      </w:sdtPr>
      <w:sdtContent>
        <w:p>
          <w:pPr>
            <w:pStyle w:val="TOC2"/>
            <w:tabs>
              <w:tab w:val="clear" w:pos="9231"/>
              <w:tab w:val="right" w:pos="9240" w:leader="dot"/>
            </w:tabs>
            <w:rPr/>
          </w:pPr>
          <w:r>
            <w:fldChar w:fldCharType="begin"/>
          </w:r>
          <w:r>
            <w:rPr>
              <w:webHidden/>
              <w:rStyle w:val="czeindeksu"/>
              <w:vanish w:val="false"/>
            </w:rPr>
            <w:instrText xml:space="preserve"> TOC \z \o "1-3" \u \h</w:instrText>
          </w:r>
          <w:r>
            <w:rPr>
              <w:webHidden/>
              <w:rStyle w:val="czeindeksu"/>
              <w:vanish w:val="false"/>
            </w:rPr>
            <w:fldChar w:fldCharType="separate"/>
          </w:r>
          <w:hyperlink w:anchor="__RefHeading___Toc6100_1558697229">
            <w:r>
              <w:rPr>
                <w:webHidden/>
                <w:rStyle w:val="czeindeksu"/>
                <w:vanish w:val="false"/>
              </w:rPr>
              <w:t>ZAŁĄCZNIK DO STRONY TYTUŁOWEJ: SPIS TREŚCI</w:t>
            </w:r>
            <w:r>
              <w:rPr>
                <w:rStyle w:val="czeindeksu"/>
                <w:vanish w:val="false"/>
              </w:rPr>
              <w:tab/>
              <w:t>3</w:t>
            </w:r>
          </w:hyperlink>
        </w:p>
        <w:p>
          <w:pPr>
            <w:pStyle w:val="TOC1"/>
            <w:tabs>
              <w:tab w:val="clear" w:pos="851"/>
              <w:tab w:val="clear" w:pos="9231"/>
              <w:tab w:val="right" w:pos="9240" w:leader="dot"/>
            </w:tabs>
            <w:rPr/>
          </w:pPr>
          <w:hyperlink w:anchor="__RefHeading___Toc6102_1558697229">
            <w:r>
              <w:rPr>
                <w:webHidden/>
                <w:rStyle w:val="czeindeksu"/>
                <w:vanish w:val="false"/>
              </w:rPr>
              <w:t>Decyzje o nadaniu uprawnień budowlanych oraz wpisy do Izby</w:t>
              <w:tab/>
              <w:t>6</w:t>
            </w:r>
          </w:hyperlink>
        </w:p>
        <w:p>
          <w:pPr>
            <w:pStyle w:val="TOC1"/>
            <w:tabs>
              <w:tab w:val="clear" w:pos="851"/>
              <w:tab w:val="clear" w:pos="9231"/>
              <w:tab w:val="right" w:pos="9240" w:leader="dot"/>
            </w:tabs>
            <w:rPr/>
          </w:pPr>
          <w:hyperlink w:anchor="__RefHeading___Toc6104_1558697229">
            <w:r>
              <w:rPr>
                <w:webHidden/>
                <w:rStyle w:val="czeindeksu"/>
                <w:vanish w:val="false"/>
              </w:rPr>
              <w:t>CZĘŚĆ OPISOWA PROJEKTU</w:t>
              <w:tab/>
              <w:t>30</w:t>
            </w:r>
          </w:hyperlink>
        </w:p>
        <w:p>
          <w:pPr>
            <w:pStyle w:val="TOC1"/>
            <w:tabs>
              <w:tab w:val="clear" w:pos="851"/>
              <w:tab w:val="clear" w:pos="9231"/>
              <w:tab w:val="right" w:pos="9240" w:leader="dot"/>
            </w:tabs>
            <w:rPr/>
          </w:pPr>
          <w:hyperlink w:anchor="__RefHeading___Toc6106_1558697229">
            <w:r>
              <w:rPr>
                <w:webHidden/>
                <w:rStyle w:val="czeindeksu"/>
                <w:vanish w:val="false"/>
              </w:rPr>
              <w:t>ZAGOSPODAROWANIE TERENU</w:t>
              <w:tab/>
              <w:t>30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354484840">
            <w:r>
              <w:rPr>
                <w:webHidden/>
                <w:rStyle w:val="czeindeksu"/>
                <w:vanish w:val="false"/>
              </w:rPr>
              <w:t>1. Przedmiot zamierzenia budowlanego</w:t>
              <w:tab/>
              <w:t>30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354484843">
            <w:r>
              <w:rPr>
                <w:webHidden/>
                <w:rStyle w:val="czeindeksu"/>
                <w:vanish w:val="false"/>
              </w:rPr>
              <w:t>2. Istniejący stan zagospodarowania działki oraz informacja o obiektach budowlanych przeznaczonych do rozbiórki</w:t>
              <w:tab/>
              <w:t>30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08_1558697229">
            <w:r>
              <w:rPr>
                <w:webHidden/>
                <w:rStyle w:val="czeindeksu"/>
                <w:vanish w:val="false"/>
              </w:rPr>
              <w:t>2.1. Charakterystyka obiektu przeznaczonego do rozbiórki</w:t>
              <w:tab/>
              <w:t>31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10_1558697229">
            <w:r>
              <w:rPr>
                <w:webHidden/>
                <w:rStyle w:val="czeindeksu"/>
                <w:vanish w:val="false"/>
              </w:rPr>
              <w:t>2.2. Wielkości charakterystyczne obiektu przeznaczonego do rozbiórki</w:t>
              <w:tab/>
              <w:t>32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12_1558697229">
            <w:r>
              <w:rPr>
                <w:webHidden/>
                <w:rStyle w:val="czeindeksu"/>
                <w:vanish w:val="false"/>
              </w:rPr>
              <w:t>2.3. Zakres i sposób wykonywania prac rozbiórkowych</w:t>
              <w:tab/>
              <w:t>32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14_1558697229">
            <w:r>
              <w:rPr>
                <w:webHidden/>
                <w:rStyle w:val="czeindeksu"/>
                <w:vanish w:val="false"/>
              </w:rPr>
              <w:t>2.4. Opis rozbiórki elementów budynku</w:t>
              <w:tab/>
              <w:t>32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16_1558697229">
            <w:r>
              <w:rPr>
                <w:webHidden/>
                <w:rStyle w:val="czeindeksu"/>
                <w:vanish w:val="false"/>
              </w:rPr>
              <w:t>2.5. Wytyczne do technologii prowadzenia robót rozbiórkowych</w:t>
              <w:tab/>
              <w:t>33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354484844">
            <w:r>
              <w:rPr>
                <w:webHidden/>
                <w:rStyle w:val="czeindeksu"/>
                <w:vanish w:val="false"/>
              </w:rPr>
              <w:t>3. Projektowane zagospodarowanie działki</w:t>
              <w:tab/>
              <w:t>33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18_1558697229">
            <w:r>
              <w:rPr>
                <w:webHidden/>
                <w:rStyle w:val="czeindeksu"/>
                <w:vanish w:val="false"/>
              </w:rPr>
              <w:t>3.1. Urządzenia budowlane związane z obiektami budowlanymi</w:t>
              <w:tab/>
              <w:t>33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20_1558697229">
            <w:r>
              <w:rPr>
                <w:webHidden/>
                <w:rStyle w:val="czeindeksu"/>
                <w:vanish w:val="false"/>
              </w:rPr>
              <w:t>3.2. Sposób odprowadzania lub oczyszczania ścieków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22_1558697229">
            <w:r>
              <w:rPr>
                <w:webHidden/>
                <w:rStyle w:val="czeindeksu"/>
                <w:vanish w:val="false"/>
              </w:rPr>
              <w:t>3.3. Układ komunikacyjny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24_1558697229">
            <w:r>
              <w:rPr>
                <w:webHidden/>
                <w:rStyle w:val="czeindeksu"/>
                <w:vanish w:val="false"/>
              </w:rPr>
              <w:t>3.4. Sposób dostępu do drogi publicznej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26_1558697229">
            <w:r>
              <w:rPr>
                <w:webHidden/>
                <w:rStyle w:val="czeindeksu"/>
                <w:vanish w:val="false"/>
              </w:rPr>
              <w:t>3.5. Parametry techniczne sieci i urządzeń uzbrojenia terenu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28_1558697229">
            <w:r>
              <w:rPr>
                <w:webHidden/>
                <w:rStyle w:val="czeindeksu"/>
                <w:vanish w:val="false"/>
              </w:rPr>
              <w:t>3.6. Ukształtowanie terenu i układ zieleni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30_1558697229">
            <w:r>
              <w:rPr>
                <w:webHidden/>
                <w:rStyle w:val="czeindeksu"/>
                <w:vanish w:val="false"/>
              </w:rPr>
              <w:t>4. Zestawienie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32_1558697229">
            <w:r>
              <w:rPr>
                <w:webHidden/>
                <w:rStyle w:val="czeindeksu"/>
                <w:vanish w:val="false"/>
              </w:rPr>
              <w:t>5. Informacje i dane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34_1558697229">
            <w:r>
              <w:rPr>
                <w:webHidden/>
                <w:rStyle w:val="czeindeksu"/>
                <w:vanish w:val="false"/>
              </w:rPr>
              <w:t>5.1.  Informacje i dane o rodzaju ograniczeń lub zakazów w zabudowie i zagospodarowaniu terenu wynikające z miejscowego planu zagospodarowania przestrzennego</w:t>
              <w:tab/>
              <w:t>34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354484845">
            <w:r>
              <w:rPr>
                <w:webHidden/>
                <w:rStyle w:val="czeindeksu"/>
                <w:vanish w:val="false"/>
              </w:rPr>
              <w:t>5.2. Ochrona konserwatorska, rejestr i ewidencja zabytków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36_1558697229">
            <w:r>
              <w:rPr>
                <w:webHidden/>
                <w:rStyle w:val="czeindeksu"/>
                <w:vanish w:val="false"/>
              </w:rPr>
              <w:t>5.3. Wpływ eksploatacji górniczej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354484849">
            <w:r>
              <w:rPr>
                <w:webHidden/>
                <w:rStyle w:val="czeindeksu"/>
                <w:vanish w:val="false"/>
              </w:rPr>
              <w:t>5.4. Ochrona środowiska oraz higieny i zdrowia użytkowników projektowanych obiektów budowlanych i ich otoczenia w zakresie zgodnym z przepisami odrębnymi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38_1558697229">
            <w:r>
              <w:rPr>
                <w:webHidden/>
                <w:rStyle w:val="czeindeksu"/>
                <w:vanish w:val="false"/>
              </w:rPr>
              <w:t>6. Dane dotyczące warunków ochrony przeciwpożarowej, w szczególności o drogach pożarowych oraz przeciwpożarowym zaopatrzeniu w wodę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40_1558697229">
            <w:r>
              <w:rPr>
                <w:webHidden/>
                <w:rStyle w:val="czeindeksu"/>
                <w:vanish w:val="false"/>
              </w:rPr>
              <w:t>6.1. Opis zamierzenia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42_1558697229">
            <w:r>
              <w:rPr>
                <w:webHidden/>
                <w:rStyle w:val="czeindeksu"/>
                <w:vanish w:val="false"/>
              </w:rPr>
              <w:t>6.2. Odległość od obiektów sąsiadujących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44_1558697229">
            <w:r>
              <w:rPr>
                <w:webHidden/>
                <w:rStyle w:val="czeindeksu"/>
                <w:vanish w:val="false"/>
              </w:rPr>
              <w:t>6.3. Parametry budynków i ich kwalifikacja pożarowa, gęstość obciążenia ogniowego, przyjęta klasa odporności pożarowej budynków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46_1558697229">
            <w:r>
              <w:rPr>
                <w:webHidden/>
                <w:rStyle w:val="czeindeksu"/>
                <w:vanish w:val="false"/>
              </w:rPr>
              <w:t>6.4. Oddzielenia przeciwpożarowe</w:t>
              <w:tab/>
              <w:t>39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48_1558697229">
            <w:r>
              <w:rPr>
                <w:webHidden/>
                <w:rStyle w:val="czeindeksu"/>
                <w:vanish w:val="false"/>
              </w:rPr>
              <w:t>6.5. Drogi pożarowe</w:t>
              <w:tab/>
              <w:t>40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50_1558697229">
            <w:r>
              <w:rPr>
                <w:webHidden/>
                <w:rStyle w:val="czeindeksu"/>
                <w:vanish w:val="false"/>
              </w:rPr>
              <w:t>6.6. Przeciwpożarowe zaopatrzenie w wodę</w:t>
              <w:tab/>
              <w:t>40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52_1558697229">
            <w:r>
              <w:rPr>
                <w:webHidden/>
                <w:rStyle w:val="czeindeksu"/>
                <w:vanish w:val="false"/>
              </w:rPr>
              <w:t>7. Analiza oddziaływania obiektu budowlanego</w:t>
              <w:tab/>
              <w:t>40</w:t>
            </w:r>
          </w:hyperlink>
        </w:p>
        <w:p>
          <w:pPr>
            <w:pStyle w:val="TOC1"/>
            <w:tabs>
              <w:tab w:val="clear" w:pos="851"/>
              <w:tab w:val="clear" w:pos="9231"/>
              <w:tab w:val="right" w:pos="9240" w:leader="dot"/>
            </w:tabs>
            <w:rPr/>
          </w:pPr>
          <w:hyperlink w:anchor="__RefHeading___Toc6154_1558697229">
            <w:r>
              <w:rPr>
                <w:webHidden/>
                <w:rStyle w:val="czeindeksu"/>
                <w:vanish w:val="false"/>
              </w:rPr>
              <w:t>INFORMACJA DOTYCZĄCA ODSTĘPSTW OD PROJEKTU</w:t>
              <w:tab/>
              <w:t>42</w:t>
            </w:r>
          </w:hyperlink>
        </w:p>
        <w:p>
          <w:pPr>
            <w:pStyle w:val="TOC1"/>
            <w:tabs>
              <w:tab w:val="clear" w:pos="851"/>
              <w:tab w:val="clear" w:pos="9231"/>
              <w:tab w:val="right" w:pos="9240" w:leader="dot"/>
            </w:tabs>
            <w:rPr/>
          </w:pPr>
          <w:hyperlink w:anchor="__RefHeading___Toc6156_1558697229">
            <w:r>
              <w:rPr>
                <w:webHidden/>
                <w:rStyle w:val="czeindeksu"/>
                <w:vanish w:val="false"/>
              </w:rPr>
              <w:t>INSTALACJE SANITARNE ZEWNĘTRZNE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58_1558697229">
            <w:r>
              <w:rPr>
                <w:webHidden/>
                <w:rStyle w:val="czeindeksu"/>
                <w:vanish w:val="false"/>
              </w:rPr>
              <w:t>8. Podstawa opracowania: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60_1558697229">
            <w:r>
              <w:rPr>
                <w:webHidden/>
                <w:rStyle w:val="czeindeksu"/>
                <w:vanish w:val="false"/>
              </w:rPr>
              <w:t>9. Sieć kanalizacji sanitarnej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62_1558697229">
            <w:r>
              <w:rPr>
                <w:webHidden/>
                <w:rStyle w:val="czeindeksu"/>
                <w:vanish w:val="false"/>
              </w:rPr>
              <w:t>9.1. Opis przyjętego rozwiązania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64_1558697229">
            <w:r>
              <w:rPr>
                <w:webHidden/>
                <w:rStyle w:val="czeindeksu"/>
                <w:vanish w:val="false"/>
              </w:rPr>
              <w:t>9.2. Rurociągi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66_1558697229">
            <w:r>
              <w:rPr>
                <w:webHidden/>
                <w:rStyle w:val="czeindeksu"/>
                <w:vanish w:val="false"/>
              </w:rPr>
              <w:t>9.3. Studnie kanalizacyjne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68_1558697229">
            <w:r>
              <w:rPr>
                <w:webHidden/>
                <w:rStyle w:val="czeindeksu"/>
                <w:vanish w:val="false"/>
              </w:rPr>
              <w:t>9.4. Zbiornik bezodpływowy</w:t>
              <w:tab/>
              <w:t>43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70_1558697229">
            <w:r>
              <w:rPr>
                <w:webHidden/>
                <w:rStyle w:val="czeindeksu"/>
                <w:vanish w:val="false"/>
              </w:rPr>
              <w:t>10. Sieć wodociągowa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72_1558697229">
            <w:r>
              <w:rPr>
                <w:webHidden/>
                <w:rStyle w:val="czeindeksu"/>
                <w:vanish w:val="false"/>
              </w:rPr>
              <w:t>10.1. Zakres opracowania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74_1558697229">
            <w:r>
              <w:rPr>
                <w:webHidden/>
                <w:rStyle w:val="czeindeksu"/>
                <w:vanish w:val="false"/>
              </w:rPr>
              <w:t>10.2. Przyjęte rozwiązania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76_1558697229">
            <w:r>
              <w:rPr>
                <w:webHidden/>
                <w:rStyle w:val="czeindeksu"/>
                <w:vanish w:val="false"/>
              </w:rPr>
              <w:t>11. Próby szczelności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78_1558697229">
            <w:r>
              <w:rPr>
                <w:webHidden/>
                <w:rStyle w:val="czeindeksu"/>
                <w:vanish w:val="false"/>
              </w:rPr>
              <w:t>11.1. Próba szczelności sieci wodociągowej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80_1558697229">
            <w:r>
              <w:rPr>
                <w:webHidden/>
                <w:rStyle w:val="czeindeksu"/>
                <w:vanish w:val="false"/>
              </w:rPr>
              <w:t>11.2. Próba szczelności sieci kanalizacyjnej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82_1558697229">
            <w:r>
              <w:rPr>
                <w:webHidden/>
                <w:rStyle w:val="czeindeksu"/>
                <w:vanish w:val="false"/>
              </w:rPr>
              <w:t>12. Wykopy</w:t>
              <w:tab/>
              <w:t>44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84_1558697229">
            <w:r>
              <w:rPr>
                <w:webHidden/>
                <w:rStyle w:val="czeindeksu"/>
                <w:vanish w:val="false"/>
              </w:rPr>
              <w:t>13. Wytyczne do realizacji</w:t>
              <w:tab/>
              <w:t>45</w:t>
            </w:r>
          </w:hyperlink>
        </w:p>
        <w:p>
          <w:pPr>
            <w:pStyle w:val="TOC1"/>
            <w:tabs>
              <w:tab w:val="clear" w:pos="851"/>
              <w:tab w:val="clear" w:pos="9231"/>
              <w:tab w:val="right" w:pos="9240" w:leader="dot"/>
            </w:tabs>
            <w:rPr/>
          </w:pPr>
          <w:hyperlink w:anchor="__RefHeading___Toc6186_1558697229">
            <w:r>
              <w:rPr>
                <w:webHidden/>
                <w:rStyle w:val="czeindeksu"/>
                <w:vanish w:val="false"/>
              </w:rPr>
              <w:t>INSTALACJE ELEKTRTYCZNE ZEWNĘTRZNE</w:t>
              <w:tab/>
              <w:t>46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88_1558697229">
            <w:r>
              <w:rPr>
                <w:webHidden/>
                <w:rStyle w:val="czeindeksu"/>
                <w:vanish w:val="false"/>
              </w:rPr>
              <w:t>14. Zakres opracowania</w:t>
              <w:tab/>
              <w:t>46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90_1558697229">
            <w:r>
              <w:rPr>
                <w:webHidden/>
                <w:rStyle w:val="czeindeksu"/>
                <w:vanish w:val="false"/>
              </w:rPr>
              <w:t>15. Zasilanie obiektu</w:t>
              <w:tab/>
              <w:t>46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92_1558697229">
            <w:r>
              <w:rPr>
                <w:webHidden/>
                <w:rStyle w:val="czeindeksu"/>
                <w:vanish w:val="false"/>
              </w:rPr>
              <w:t>16. Sieci zewnętrzne</w:t>
              <w:tab/>
              <w:t>46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94_1558697229">
            <w:r>
              <w:rPr>
                <w:webHidden/>
                <w:rStyle w:val="czeindeksu"/>
                <w:vanish w:val="false"/>
              </w:rPr>
              <w:t>17. Oświetlenie zewnętrzne</w:t>
              <w:tab/>
              <w:t>46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196_1558697229">
            <w:r>
              <w:rPr>
                <w:webHidden/>
                <w:rStyle w:val="czeindeksu"/>
                <w:vanish w:val="false"/>
              </w:rPr>
              <w:t>18. Ochrona od porażenia prądem elektrycznym w sieci nN</w:t>
              <w:tab/>
              <w:t>46</w:t>
            </w:r>
          </w:hyperlink>
        </w:p>
        <w:p>
          <w:pPr>
            <w:pStyle w:val="TOC2"/>
            <w:tabs>
              <w:tab w:val="clear" w:pos="9231"/>
              <w:tab w:val="right" w:pos="9240" w:leader="dot"/>
            </w:tabs>
            <w:rPr/>
          </w:pPr>
          <w:hyperlink w:anchor="__RefHeading___Toc6198_1558697229">
            <w:r>
              <w:rPr>
                <w:webHidden/>
                <w:rStyle w:val="czeindeksu"/>
                <w:vanish w:val="false"/>
              </w:rPr>
              <w:t>DOKUMENTACJA FOTOGRAFICZNA ROZBIERANEGO OBIEKTU</w:t>
              <w:tab/>
              <w:t>48</w:t>
            </w:r>
          </w:hyperlink>
        </w:p>
        <w:p>
          <w:pPr>
            <w:pStyle w:val="TOC2"/>
            <w:tabs>
              <w:tab w:val="clear" w:pos="9231"/>
              <w:tab w:val="right" w:pos="9240" w:leader="dot"/>
            </w:tabs>
            <w:rPr/>
          </w:pPr>
          <w:hyperlink w:anchor="__RefHeading___Toc6200_1558697229">
            <w:r>
              <w:rPr>
                <w:webHidden/>
                <w:rStyle w:val="czeindeksu"/>
                <w:vanish w:val="false"/>
              </w:rPr>
              <w:t>CZĘŚĆ RYSUNKOWA</w:t>
              <w:tab/>
              <w:t>55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202_1558697229">
            <w:r>
              <w:rPr>
                <w:webHidden/>
                <w:rStyle w:val="czeindeksu"/>
                <w:vanish w:val="false"/>
              </w:rPr>
              <w:t>PB_01_01- Projekt zagospodarowania terenu. skala 1:500</w:t>
              <w:tab/>
              <w:t>55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204_1558697229">
            <w:r>
              <w:rPr>
                <w:webHidden/>
                <w:rStyle w:val="czeindeksu"/>
                <w:vanish w:val="false"/>
              </w:rPr>
              <w:t>PB_01_02- Zbiornik bezodpływowy. skala 1:25</w:t>
              <w:tab/>
              <w:t>55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206_1558697229">
            <w:r>
              <w:rPr>
                <w:webHidden/>
                <w:rStyle w:val="czeindeksu"/>
                <w:vanish w:val="false"/>
              </w:rPr>
              <w:t>ROZB_01 – Istniejący budynek przeznaczony do rozbiórki – rzut. skala 1:50</w:t>
              <w:tab/>
              <w:t>55</w:t>
            </w:r>
          </w:hyperlink>
        </w:p>
        <w:p>
          <w:pPr>
            <w:pStyle w:val="TOC3"/>
            <w:tabs>
              <w:tab w:val="clear" w:pos="880"/>
              <w:tab w:val="clear" w:pos="9231"/>
              <w:tab w:val="right" w:pos="9240" w:leader="dot"/>
            </w:tabs>
            <w:rPr/>
          </w:pPr>
          <w:hyperlink w:anchor="__RefHeading___Toc6208_1558697229">
            <w:r>
              <w:rPr>
                <w:webHidden/>
                <w:rStyle w:val="czeindeksu"/>
                <w:vanish w:val="false"/>
              </w:rPr>
              <w:t>ROZB_02 – Istniejący budynek przeznaczony do rozbiórki – elewacje. skala 1:100</w:t>
              <w:tab/>
              <w:t>55</w:t>
            </w:r>
          </w:hyperlink>
          <w:r>
            <w:rPr>
              <w:rStyle w:val="czeindeksu"/>
              <w:vanish w:val="false"/>
            </w:rPr>
            <w:fldChar w:fldCharType="end"/>
          </w:r>
        </w:p>
      </w:sdtContent>
    </w:sdt>
    <w:p>
      <w:pPr>
        <w:sectPr>
          <w:headerReference w:type="even" r:id="rId3"/>
          <w:headerReference w:type="default" r:id="rId4"/>
          <w:headerReference w:type="first" r:id="rId5"/>
          <w:footerReference w:type="even" r:id="rId6"/>
          <w:footerReference w:type="default" r:id="rId7"/>
          <w:footerReference w:type="first" r:id="rId8"/>
          <w:type w:val="nextPage"/>
          <w:pgSz w:w="11906" w:h="16838"/>
          <w:pgMar w:left="680" w:right="851" w:gutter="1134" w:header="709" w:top="766" w:footer="709" w:bottom="766"/>
          <w:pgNumType w:fmt="decimal"/>
          <w:formProt w:val="false"/>
          <w:textDirection w:val="lrTb"/>
          <w:docGrid w:type="default" w:linePitch="600" w:charSpace="37068"/>
        </w:sectPr>
        <w:pStyle w:val="TOC1"/>
        <w:pBdr>
          <w:bottom w:val="single" w:sz="6" w:space="1" w:color="000000"/>
        </w:pBdr>
        <w:spacing w:before="20" w:after="60"/>
        <w:rPr>
          <w:b/>
        </w:rPr>
      </w:pPr>
      <w:r>
        <w:rPr>
          <w:b/>
        </w:rPr>
      </w:r>
      <w:r>
        <w:br w:type="page"/>
      </w:r>
    </w:p>
    <w:tbl>
      <w:tblPr>
        <w:tblStyle w:val="Tabela-Siatka"/>
        <w:tblW w:w="8923" w:type="dxa"/>
        <w:jc w:val="left"/>
        <w:tblInd w:w="13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8923"/>
      </w:tblGrid>
      <w:tr>
        <w:trPr/>
        <w:tc>
          <w:tcPr>
            <w:tcW w:w="8923" w:type="dxa"/>
            <w:tcBorders/>
            <w:shd w:color="auto" w:fill="E7E6E6" w:themeFill="background2" w:val="clear"/>
          </w:tcPr>
          <w:p>
            <w:pPr>
              <w:pStyle w:val="GPPOPIS"/>
              <w:pageBreakBefore/>
              <w:widowControl/>
              <w:suppressAutoHyphens w:val="true"/>
              <w:spacing w:before="0" w:after="60"/>
              <w:ind w:left="0"/>
              <w:jc w:val="center"/>
              <w:rPr>
                <w:b/>
                <w:bCs/>
                <w:color w:themeColor="background1" w:val="FFFFFF"/>
                <w:sz w:val="22"/>
                <w:szCs w:val="24"/>
              </w:rPr>
            </w:pPr>
            <w:r>
              <w:rPr>
                <w:rFonts w:eastAsia="Calibri" w:cs=""/>
                <w:b/>
                <w:bCs/>
                <w:kern w:val="0"/>
                <w:sz w:val="22"/>
                <w:szCs w:val="24"/>
                <w:lang w:val="pl-PL" w:eastAsia="en-US" w:bidi="ar-SA"/>
              </w:rPr>
              <w:t>OŚWIADCZENIA PROJEKTANTÓW</w:t>
            </w:r>
          </w:p>
        </w:tc>
      </w:tr>
    </w:tbl>
    <w:p>
      <w:pPr>
        <w:pStyle w:val="GPPOPIS"/>
        <w:rPr/>
      </w:pPr>
      <w:r>
        <w:rPr/>
      </w:r>
    </w:p>
    <w:p>
      <w:pPr>
        <w:pStyle w:val="GPPOPIS"/>
        <w:rPr>
          <w:rFonts w:ascii="Arial" w:hAnsi="Arial"/>
          <w:i/>
          <w:i/>
          <w:sz w:val="16"/>
        </w:rPr>
      </w:pPr>
      <w:r>
        <w:rPr/>
        <w:t>Zgodnie z art. 34 ust. 3d pkt. 3 ustawy z dnia 7 lipca 1994 Prawo Budowlane, niżej podpisani projektanci oświadczają, że projekt niniejszy został sporządzony zgodnie z obowiązującymi przepisami i zasadami wiedzy technicznej</w:t>
      </w:r>
    </w:p>
    <w:p>
      <w:pPr>
        <w:pStyle w:val="Normal"/>
        <w:rPr>
          <w:i/>
          <w:i/>
          <w:sz w:val="16"/>
        </w:rPr>
      </w:pPr>
      <w:r>
        <w:rPr>
          <w:i/>
          <w:sz w:val="16"/>
        </w:rPr>
      </w:r>
    </w:p>
    <w:tbl>
      <w:tblPr>
        <w:tblW w:w="9075" w:type="dxa"/>
        <w:jc w:val="left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019"/>
        <w:gridCol w:w="1842"/>
        <w:gridCol w:w="3401"/>
        <w:gridCol w:w="1812"/>
      </w:tblGrid>
      <w:tr>
        <w:trPr/>
        <w:tc>
          <w:tcPr>
            <w:tcW w:w="2019" w:type="dxa"/>
            <w:tcBorders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BRANŻA</w:t>
            </w:r>
          </w:p>
        </w:tc>
        <w:tc>
          <w:tcPr>
            <w:tcW w:w="1842" w:type="dxa"/>
            <w:tcBorders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IMIĘ I NAZWISKO</w:t>
            </w:r>
          </w:p>
        </w:tc>
        <w:tc>
          <w:tcPr>
            <w:tcW w:w="3401" w:type="dxa"/>
            <w:tcBorders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NUMER UPRAWNIEŃ I SPECJALNOŚĆ</w:t>
            </w:r>
          </w:p>
        </w:tc>
        <w:tc>
          <w:tcPr>
            <w:tcW w:w="1812" w:type="dxa"/>
            <w:tcBorders>
              <w:bottom w:val="single" w:sz="4" w:space="0" w:color="000000"/>
            </w:tcBorders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PODPIS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bCs/>
                <w:color w:val="auto"/>
              </w:rPr>
            </w:pPr>
            <w:r>
              <w:rPr>
                <w:rFonts w:cs="Calibri" w:cstheme="minorHAnsi"/>
                <w:bCs/>
                <w:color w:val="auto"/>
              </w:rPr>
              <w:t>data opracowania: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2"/>
                <w:szCs w:val="24"/>
              </w:rPr>
            </w:pPr>
            <w:r>
              <w:rPr>
                <w:rFonts w:cs="Calibri" w:cstheme="minorHAnsi"/>
                <w:color w:val="auto"/>
              </w:rPr>
              <w:t>2024-07-10</w:t>
            </w:r>
          </w:p>
        </w:tc>
      </w:tr>
      <w:tr>
        <w:trPr>
          <w:trHeight w:val="1350" w:hRule="atLeast"/>
        </w:trPr>
        <w:tc>
          <w:tcPr>
            <w:tcW w:w="201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 xml:space="preserve">architektura </w:t>
              <w:br/>
              <w:t>(część PZT i PAB)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Katarzyna Janas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upr. bud. 39/WPOKK/2017</w:t>
              <w:br/>
              <w:t>upr. bud. w specjaln. archit do projektowania bez ograniczeń.</w:t>
            </w:r>
          </w:p>
        </w:tc>
        <w:tc>
          <w:tcPr>
            <w:tcW w:w="1812" w:type="dxa"/>
            <w:tcBorders>
              <w:top w:val="single" w:sz="4" w:space="0" w:color="000000"/>
              <w:bottom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(projektował)</w:t>
            </w:r>
          </w:p>
        </w:tc>
      </w:tr>
      <w:tr>
        <w:trPr>
          <w:trHeight w:val="1350" w:hRule="atLeast"/>
        </w:trPr>
        <w:tc>
          <w:tcPr>
            <w:tcW w:w="201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 xml:space="preserve">architektura </w:t>
              <w:br/>
              <w:t>(część PZT i PAB)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Szymon Radzikowski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upr. bud. 49/WPOKK/2018</w:t>
              <w:br/>
              <w:t>upr. bud. w specjaln. archit do projektowania bez ograniczeń.</w:t>
            </w:r>
          </w:p>
        </w:tc>
        <w:tc>
          <w:tcPr>
            <w:tcW w:w="1812" w:type="dxa"/>
            <w:tcBorders>
              <w:top w:val="single" w:sz="4" w:space="0" w:color="000000"/>
              <w:bottom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(sprawdził)</w:t>
            </w:r>
          </w:p>
        </w:tc>
      </w:tr>
      <w:tr>
        <w:trPr>
          <w:trHeight w:val="1193" w:hRule="atLeast"/>
        </w:trPr>
        <w:tc>
          <w:tcPr>
            <w:tcW w:w="201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instalacje sanitarne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Tomasz Magdziarz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upr. bud WKP/0148/POOS/16</w:t>
              <w:br/>
              <w:t>do projektowania bez ograniczeń w specjaln. instalacyjnej w zakresie sieci, instalacji i urządzeń cieplnych, wentylacyjnych, gazowych, wodociągowych i kanalizacyjnych</w:t>
            </w:r>
          </w:p>
        </w:tc>
        <w:tc>
          <w:tcPr>
            <w:tcW w:w="1812" w:type="dxa"/>
            <w:tcBorders>
              <w:top w:val="single" w:sz="4" w:space="0" w:color="000000"/>
              <w:bottom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(projektował)</w:t>
            </w:r>
          </w:p>
        </w:tc>
      </w:tr>
      <w:tr>
        <w:trPr>
          <w:trHeight w:val="1652" w:hRule="atLeast"/>
        </w:trPr>
        <w:tc>
          <w:tcPr>
            <w:tcW w:w="201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instalacje sanitarne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Marcin Woźniak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upr. bud WKP/0151/POOS/17</w:t>
              <w:br/>
              <w:t>do projektowania bez ograniczeń w specjaln. instalacyjnej w zakresie sieci, instalacji i urządzeń cieplnych, wentylacyjnych, gazowych, wodociągowych i kanalizacyjnych</w:t>
            </w:r>
          </w:p>
        </w:tc>
        <w:tc>
          <w:tcPr>
            <w:tcW w:w="1812" w:type="dxa"/>
            <w:tcBorders>
              <w:top w:val="single" w:sz="4" w:space="0" w:color="000000"/>
              <w:bottom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(sprawdził)</w:t>
            </w:r>
          </w:p>
        </w:tc>
      </w:tr>
      <w:tr>
        <w:trPr>
          <w:trHeight w:val="1410" w:hRule="atLeast"/>
        </w:trPr>
        <w:tc>
          <w:tcPr>
            <w:tcW w:w="201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instalacje elektryczne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Marek Tomala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upr. bud.  WKP/0175/POOE/20</w:t>
              <w:br/>
              <w:t>upr. bud. do projektowania bez ograniczeń w spec. inst. w zakresie sieci,  instalacji i urządzeń elektrycznych i elektroenergetycznych</w:t>
            </w:r>
          </w:p>
        </w:tc>
        <w:tc>
          <w:tcPr>
            <w:tcW w:w="1812" w:type="dxa"/>
            <w:tcBorders>
              <w:top w:val="single" w:sz="4" w:space="0" w:color="000000"/>
              <w:bottom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(projektował)</w:t>
            </w:r>
          </w:p>
        </w:tc>
      </w:tr>
      <w:tr>
        <w:trPr>
          <w:trHeight w:val="1410" w:hRule="atLeast"/>
        </w:trPr>
        <w:tc>
          <w:tcPr>
            <w:tcW w:w="201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instalacje elektryczne</w:t>
            </w:r>
          </w:p>
        </w:tc>
        <w:tc>
          <w:tcPr>
            <w:tcW w:w="184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Marek Józefowski</w:t>
            </w:r>
          </w:p>
        </w:tc>
        <w:tc>
          <w:tcPr>
            <w:tcW w:w="340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upr. bud.  WKP/0384/POOE/12</w:t>
              <w:br/>
              <w:t>upr. bud. w specjalności elektrycznej</w:t>
              <w:br/>
              <w:t>do projektowania bez ograniczeń</w:t>
            </w:r>
          </w:p>
        </w:tc>
        <w:tc>
          <w:tcPr>
            <w:tcW w:w="1812" w:type="dxa"/>
            <w:tcBorders>
              <w:top w:val="single" w:sz="4" w:space="0" w:color="000000"/>
              <w:bottom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  <w:t>(sprawdził)</w:t>
            </w:r>
          </w:p>
        </w:tc>
      </w:tr>
      <w:tr>
        <w:trPr>
          <w:trHeight w:val="1410" w:hRule="atLeast"/>
        </w:trPr>
        <w:tc>
          <w:tcPr>
            <w:tcW w:w="2019" w:type="dxa"/>
            <w:tcBorders>
              <w:top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</w:r>
          </w:p>
        </w:tc>
        <w:tc>
          <w:tcPr>
            <w:tcW w:w="1842" w:type="dxa"/>
            <w:tcBorders>
              <w:top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</w:r>
          </w:p>
        </w:tc>
        <w:tc>
          <w:tcPr>
            <w:tcW w:w="3401" w:type="dxa"/>
            <w:tcBorders>
              <w:top w:val="single" w:sz="4" w:space="0" w:color="000000"/>
            </w:tcBorders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</w:r>
          </w:p>
        </w:tc>
        <w:tc>
          <w:tcPr>
            <w:tcW w:w="1812" w:type="dxa"/>
            <w:tcBorders>
              <w:top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Cs w:val="18"/>
              </w:rPr>
            </w:pPr>
            <w:r>
              <w:rPr>
                <w:rFonts w:cs="Calibri" w:cstheme="minorHAnsi"/>
                <w:color w:val="auto"/>
                <w:szCs w:val="18"/>
              </w:rPr>
            </w:r>
          </w:p>
        </w:tc>
      </w:tr>
    </w:tbl>
    <w:p>
      <w:pPr>
        <w:pStyle w:val="GPPTabelka"/>
        <w:rPr>
          <w:rFonts w:ascii="Calibri" w:hAnsi="Calibri" w:cs="Calibri" w:asciiTheme="minorHAnsi" w:cstheme="minorHAnsi" w:hAnsiTheme="minorHAnsi"/>
          <w:color w:val="auto"/>
          <w:szCs w:val="18"/>
        </w:rPr>
      </w:pPr>
      <w:r>
        <w:rPr>
          <w:rFonts w:cs="Calibri" w:cstheme="minorHAnsi"/>
          <w:color w:val="auto"/>
          <w:szCs w:val="18"/>
        </w:rPr>
      </w:r>
    </w:p>
    <w:p>
      <w:pPr>
        <w:pStyle w:val="GPPTabelka"/>
        <w:rPr>
          <w:rFonts w:ascii="Calibri" w:hAnsi="Calibri" w:cs="Calibri" w:asciiTheme="minorHAnsi" w:cstheme="minorHAnsi" w:hAnsiTheme="minorHAnsi"/>
          <w:color w:val="auto"/>
          <w:szCs w:val="18"/>
        </w:rPr>
      </w:pPr>
      <w:r>
        <w:rPr>
          <w:rFonts w:cs="Calibri" w:cstheme="minorHAnsi"/>
          <w:color w:val="auto"/>
          <w:szCs w:val="18"/>
        </w:rPr>
      </w:r>
      <w:r>
        <w:br w:type="page"/>
      </w:r>
    </w:p>
    <w:p>
      <w:pPr>
        <w:pStyle w:val="GPPCZESCI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BDBDB" w:themeFill="accent3" w:themeFillTint="66"/>
        <w:spacing w:before="0" w:after="120"/>
        <w:ind w:hanging="0" w:left="142"/>
        <w:jc w:val="center"/>
        <w:rPr>
          <w:caps/>
          <w:sz w:val="22"/>
          <w:szCs w:val="22"/>
        </w:rPr>
      </w:pPr>
      <w:bookmarkStart w:id="12" w:name="__RefHeading___Toc6102_1558697229"/>
      <w:bookmarkStart w:id="13" w:name="_Toc185760955"/>
      <w:bookmarkStart w:id="14" w:name="_Toc52561090_kopia_1"/>
      <w:bookmarkStart w:id="15" w:name="_Toc393105639_kopia_1"/>
      <w:bookmarkStart w:id="16" w:name="_Hlk54884458_kopia_1"/>
      <w:bookmarkEnd w:id="12"/>
      <w:bookmarkEnd w:id="14"/>
      <w:bookmarkEnd w:id="15"/>
      <w:bookmarkEnd w:id="16"/>
      <w:r>
        <w:rPr>
          <w:caps/>
          <w:sz w:val="22"/>
          <w:szCs w:val="22"/>
        </w:rPr>
        <w:t>Decyzje o nadaniu uprawnień budowlanych oraz wpisy do Izby</w:t>
      </w:r>
      <w:bookmarkEnd w:id="13"/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362315"/>
            <wp:effectExtent l="0" t="0" r="0" b="0"/>
            <wp:docPr id="2" name="Obraz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3" descr="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623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377555"/>
            <wp:effectExtent l="0" t="0" r="0" b="0"/>
            <wp:docPr id="3" name="Obraz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4" descr="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775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148955"/>
            <wp:effectExtent l="0" t="0" r="0" b="0"/>
            <wp:docPr id="4" name="Obraz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5" descr="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89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/>
        <w:t xml:space="preserve"> </w:t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181340"/>
            <wp:effectExtent l="0" t="0" r="0" b="0"/>
            <wp:docPr id="5" name="Obraz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6" descr="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81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/>
        <w:t xml:space="preserve"> </w:t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116570"/>
            <wp:effectExtent l="0" t="0" r="0" b="0"/>
            <wp:docPr id="6" name="Obraz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7" descr="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16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174990"/>
            <wp:effectExtent l="0" t="0" r="0" b="0"/>
            <wp:docPr id="7" name="Obraz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8" descr="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74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215630"/>
            <wp:effectExtent l="0" t="0" r="0" b="0"/>
            <wp:docPr id="8" name="Obraz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9" descr="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334375"/>
            <wp:effectExtent l="0" t="0" r="0" b="0"/>
            <wp:docPr id="9" name="Obraz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10" descr="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343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254365"/>
            <wp:effectExtent l="0" t="0" r="0" b="0"/>
            <wp:docPr id="10" name="Obraz1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11" descr="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54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958840" cy="8420100"/>
            <wp:effectExtent l="0" t="0" r="0" b="0"/>
            <wp:docPr id="11" name="Obraz1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12" descr="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840" cy="8420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251825"/>
            <wp:effectExtent l="0" t="0" r="0" b="0"/>
            <wp:docPr id="12" name="Obraz1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13" descr="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5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145780"/>
            <wp:effectExtent l="0" t="0" r="0" b="0"/>
            <wp:docPr id="13" name="Obraz1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14" descr="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57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047990"/>
            <wp:effectExtent l="0" t="0" r="0" b="0"/>
            <wp:docPr id="14" name="Obraz1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15" descr="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047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100060"/>
            <wp:effectExtent l="0" t="0" r="0" b="0"/>
            <wp:docPr id="15" name="Obraz1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16" descr="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000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213090"/>
            <wp:effectExtent l="0" t="0" r="0" b="0"/>
            <wp:docPr id="16" name="Obraz1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17" descr="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130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220075"/>
            <wp:effectExtent l="0" t="0" r="0" b="0"/>
            <wp:docPr id="17" name="Obraz1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18" descr="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2007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370570"/>
            <wp:effectExtent l="0" t="0" r="0" b="0"/>
            <wp:docPr id="18" name="Obraz1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19" descr="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37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59450" cy="8251825"/>
            <wp:effectExtent l="0" t="0" r="0" b="0"/>
            <wp:docPr id="19" name="Obraz2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20" descr="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51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lineRule="auto" w:line="259" w:before="0" w:after="160"/>
        <w:ind w:left="0"/>
        <w:rPr/>
      </w:pPr>
      <w:r>
        <w:rPr/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GPPCZESCI"/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BDBDB" w:themeFill="accent3" w:themeFillTint="66"/>
        <w:spacing w:before="0" w:after="120"/>
        <w:ind w:hanging="0" w:left="142"/>
        <w:rPr/>
      </w:pPr>
      <w:bookmarkStart w:id="17" w:name="__RefHeading___Toc6104_1558697229"/>
      <w:bookmarkStart w:id="18" w:name="_Toc52561091"/>
      <w:bookmarkStart w:id="19" w:name="_Toc185760956"/>
      <w:bookmarkEnd w:id="17"/>
      <w:r>
        <w:rPr/>
        <w:t>CZĘŚĆ OPISOWA PROJEKTU</w:t>
      </w:r>
      <w:bookmarkEnd w:id="18"/>
      <w:bookmarkEnd w:id="19"/>
    </w:p>
    <w:p>
      <w:pPr>
        <w:pStyle w:val="GPPCZESCI"/>
        <w:ind w:hanging="0" w:left="142"/>
        <w:rPr/>
      </w:pPr>
      <w:bookmarkStart w:id="20" w:name="__RefHeading___Toc6106_1558697229"/>
      <w:bookmarkStart w:id="21" w:name="_Toc185760957"/>
      <w:bookmarkEnd w:id="20"/>
      <w:r>
        <w:rPr/>
        <w:t>ZAGOSPODAROWANIE TERENU</w:t>
      </w:r>
      <w:bookmarkEnd w:id="21"/>
    </w:p>
    <w:p>
      <w:pPr>
        <w:pStyle w:val="GPPPUNKT1"/>
        <w:numPr>
          <w:ilvl w:val="0"/>
          <w:numId w:val="3"/>
        </w:numPr>
        <w:rPr/>
      </w:pPr>
      <w:bookmarkStart w:id="22" w:name="__RefHeading___Toc354484840"/>
      <w:bookmarkStart w:id="23" w:name="_Toc185760958"/>
      <w:bookmarkStart w:id="24" w:name="_Toc52561092"/>
      <w:bookmarkEnd w:id="22"/>
      <w:r>
        <w:rPr/>
        <w:t>Przedmiot zamierzenia budowlanego</w:t>
      </w:r>
      <w:bookmarkEnd w:id="23"/>
      <w:bookmarkEnd w:id="24"/>
    </w:p>
    <w:p>
      <w:pPr>
        <w:pStyle w:val="GPPOPIS"/>
        <w:rPr>
          <w:rFonts w:cs="Arial"/>
          <w:spacing w:val="-5"/>
        </w:rPr>
      </w:pPr>
      <w:r>
        <w:rPr/>
        <w:t>Niniejsze opracowanie stanowi projekt rozbiórki istniejącego obiektu budowlanego – budynku świetlicy wiejskiej oraz projekt budowy</w:t>
      </w:r>
      <w:r>
        <w:rPr>
          <w:rFonts w:cs="Arial"/>
          <w:spacing w:val="-5"/>
        </w:rPr>
        <w:t xml:space="preserve"> budynku wiejskiego centrum kultury z infrastrukturą towarzyszącą.  </w:t>
      </w:r>
    </w:p>
    <w:p>
      <w:pPr>
        <w:pStyle w:val="GPPOPIS"/>
        <w:rPr/>
      </w:pPr>
      <w:r>
        <w:rPr/>
        <w:t>Działka przeznaczona pod inwestycję znajduje się w miejscowości Lipnica, gmina Ostrowite, powiat słupecki, województwo wielkopolskie, działka nr 26/1.</w:t>
      </w:r>
    </w:p>
    <w:p>
      <w:pPr>
        <w:pStyle w:val="GPPpodkreslowny"/>
        <w:rPr/>
      </w:pPr>
      <w:r>
        <w:rPr/>
        <w:t>Podstawą opracowania są: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zlecenie Inwestora,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wytyczne Inwestora,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mapa do celów projektowych w skali 1:500,</w:t>
      </w:r>
    </w:p>
    <w:p>
      <w:pPr>
        <w:pStyle w:val="GPPkropka"/>
        <w:numPr>
          <w:ilvl w:val="0"/>
          <w:numId w:val="4"/>
        </w:numPr>
        <w:ind w:hanging="284" w:left="1135"/>
        <w:rPr>
          <w:i/>
          <w:i/>
          <w:iCs/>
        </w:rPr>
      </w:pPr>
      <w:r>
        <w:rPr/>
        <w:t xml:space="preserve">wytyczne wynikające z </w:t>
      </w:r>
      <w:r>
        <w:rPr>
          <w:i/>
          <w:iCs/>
        </w:rPr>
        <w:t>Uchwały XLII/379/2021 z dnia 2021-10-18 w sprawie miejscowego planu zagospodarowania przestrzennego wybranych obrębów na obszarze gminy Ostrowite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opinia geotechniczna,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rozpoznanie w terenie,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obowiązujące normy i przepisy budowlane i branżowe oraz dane z literatury fachowej.</w:t>
      </w:r>
      <w:bookmarkStart w:id="25" w:name="__RefHeading___Toc354484842"/>
      <w:bookmarkStart w:id="26" w:name="__RefHeading___Toc354484841"/>
      <w:bookmarkEnd w:id="25"/>
      <w:bookmarkEnd w:id="26"/>
    </w:p>
    <w:p>
      <w:pPr>
        <w:pStyle w:val="GPPPUNKT1"/>
        <w:numPr>
          <w:ilvl w:val="0"/>
          <w:numId w:val="3"/>
        </w:numPr>
        <w:rPr/>
      </w:pPr>
      <w:bookmarkStart w:id="27" w:name="__RefHeading___Toc354484843"/>
      <w:bookmarkStart w:id="28" w:name="_Toc185760959"/>
      <w:bookmarkStart w:id="29" w:name="_Toc52561094"/>
      <w:bookmarkEnd w:id="27"/>
      <w:r>
        <w:rPr/>
        <w:t>Istniejący stan zagospodarowania działki</w:t>
      </w:r>
      <w:bookmarkEnd w:id="29"/>
      <w:r>
        <w:rPr/>
        <w:t xml:space="preserve"> oraz informacja o obiektach budowlanych przeznaczonych do rozbiórki</w:t>
      </w:r>
      <w:bookmarkEnd w:id="28"/>
    </w:p>
    <w:p>
      <w:pPr>
        <w:pStyle w:val="GPPOPIS"/>
        <w:rPr/>
      </w:pPr>
      <w:r>
        <w:rPr/>
        <w:t xml:space="preserve">Na froncie działki przeznaczonej pod inwestycję znajduje się budynek obecnej świetlicy wiejskiej przeznaczony do rozbiórki. W głębi działki zlokalizowana jest istniejąca wiata ogniskowa oraz wiata gospodarcza. Od północy teren graniczy z niezabudowaną działką Inwestora, natomiast od południa z drogą publiczną. Od zachodu znajduje się działka z budynkiem jednorodzinnym mieszkalnym, a od wschodu działa pozostaje niezabudowana. </w:t>
      </w:r>
    </w:p>
    <w:p>
      <w:pPr>
        <w:pStyle w:val="GPPOPIS"/>
        <w:rPr/>
      </w:pPr>
      <w:r>
        <w:rPr/>
        <w:t xml:space="preserve">Działka przeznaczona pod inwestycję obecnie stanowi działkę budowlaną. </w:t>
        <w:br/>
        <w:t xml:space="preserve">Działka jest płaska, poziom gruntu znajduje się na rzędnych 105,00 m n.p.m. </w:t>
      </w:r>
    </w:p>
    <w:p>
      <w:pPr>
        <w:pStyle w:val="GPPOPIS"/>
        <w:rPr/>
      </w:pPr>
      <w:r>
        <w:rPr/>
        <w:t>Teren jest ogrodzony, posiada furtkę i bramę wjazdową.</w:t>
      </w:r>
    </w:p>
    <w:p>
      <w:pPr>
        <w:pStyle w:val="GPPOPIS"/>
        <w:rPr/>
      </w:pPr>
      <w:r>
        <w:rPr/>
        <w:t xml:space="preserve">Dla terenu przeznaczonego pod inwestycję obowiązuje miejscowy plan zagospodarowania przestrzennego </w:t>
      </w:r>
      <w:r>
        <w:rPr>
          <w:i/>
          <w:iCs/>
        </w:rPr>
        <w:t>Uchwały XLII/379/2021 z dnia 2021-10-18 w sprawie miejscowego planu zagospodarowania przestrzennego wybranych obrębów na obszarze gminy Ostrowite.</w:t>
      </w:r>
    </w:p>
    <w:p>
      <w:pPr>
        <w:pStyle w:val="GPPOPIS"/>
        <w:rPr/>
      </w:pPr>
      <w:r>
        <w:rPr/>
        <w:t xml:space="preserve">Obecnie teren planowanej inwestycji jest częściowo zabudowany, istniejący budynek świetlicy wiejskiej planowany jest do rozbiórki. </w:t>
      </w:r>
    </w:p>
    <w:p>
      <w:pPr>
        <w:pStyle w:val="GPPOPIS"/>
        <w:rPr/>
      </w:pPr>
      <w:r>
        <w:rPr/>
        <w:t xml:space="preserve">W obrębie inwestycji, w terenie widniejącym w miejscowym planie jako 2U, nie stwierdzono występowania istniejących urządzeń melioracyjnych. </w:t>
      </w:r>
    </w:p>
    <w:p>
      <w:pPr>
        <w:pStyle w:val="GPPpodkreslowny"/>
        <w:rPr/>
      </w:pPr>
      <w:r>
        <w:rPr/>
        <w:t>Budynek przeznaczony do rozbiórki:</w:t>
      </w:r>
    </w:p>
    <w:p>
      <w:pPr>
        <w:pStyle w:val="GPPOPIS"/>
        <w:jc w:val="both"/>
        <w:rPr/>
      </w:pPr>
      <w:r>
        <w:rPr/>
        <w:t xml:space="preserve">Budynek jest przedwojenny, został wykonany jako parterowy o wysokości ok. 5,10 m w technologii tradycyjnej murowanej, częściowo również wykonany z pecy. Konstrukcja dachu drewniana, dach dwuspadowy kryty blachodachówką, ściany wewnętrzne wykonano jako murowane o gr. 35 cm. Obiekt posiada przyłączenie do istniejącego w obrębie działki zbiornika bezodpływowego na nieczystości oraz do sieci wodociągowej. ogrzewanie budynku odbywa się za pośrednictwem pieca. Budynek był przyłączony do sieci elektroenergetycznej linią napowietrzną. Budynek wyposażono w drzwi i okna PCV. </w:t>
      </w:r>
    </w:p>
    <w:p>
      <w:pPr>
        <w:pStyle w:val="GPPOPIS"/>
        <w:jc w:val="both"/>
        <w:rPr/>
      </w:pPr>
      <w:r>
        <w:rPr/>
        <w:t>Obiekt nie jest wpisany do rejestru zabytków oraz nie jest objęty ochroną konserwatorską.</w:t>
      </w:r>
    </w:p>
    <w:p>
      <w:pPr>
        <w:pStyle w:val="GPPOPIS"/>
        <w:jc w:val="both"/>
        <w:rPr/>
      </w:pPr>
      <w:r>
        <w:rPr/>
        <w:t xml:space="preserve">Budynek przeznaczony do rozbiórki jest obiektem użyteczności publicznej. Stopień zużycia budynku wynika z jego wieku i zastosowanej technologii wykonawstwa oraz jest typowy dla budynków o dostatecznym stopniu konserwacji i remontów. </w:t>
      </w:r>
    </w:p>
    <w:p>
      <w:pPr>
        <w:pStyle w:val="GPPOPIS"/>
        <w:jc w:val="both"/>
        <w:rPr/>
      </w:pPr>
      <w:r>
        <w:rPr/>
        <w:t xml:space="preserve">W związku z planowaną likwidacją obiektu należy również usunąć doprowadzone do niego zewnętrzne i wewnętrzne instalacje oraz powiązany z nim funkcjonalnie istniejący zbiornik bezodpływowy. </w:t>
      </w:r>
    </w:p>
    <w:p>
      <w:pPr>
        <w:pStyle w:val="GPPOPIS"/>
        <w:jc w:val="both"/>
        <w:rPr/>
      </w:pPr>
      <w:r>
        <w:rPr/>
      </w:r>
    </w:p>
    <w:p>
      <w:pPr>
        <w:pStyle w:val="Normal"/>
        <w:ind w:left="426"/>
        <w:jc w:val="both"/>
        <w:rPr>
          <w:rFonts w:eastAsia="Arial"/>
          <w:b/>
          <w:bCs/>
          <w:kern w:val="2"/>
          <w:szCs w:val="20"/>
          <w:lang w:eastAsia="x-none"/>
        </w:rPr>
      </w:pPr>
      <w:r>
        <w:rPr>
          <w:rFonts w:eastAsia="Arial"/>
          <w:b/>
          <w:bCs/>
          <w:kern w:val="2"/>
          <w:szCs w:val="20"/>
          <w:lang w:eastAsia="x-none"/>
        </w:rPr>
        <w:t>UWAGA: Przed rozpoczęciem prac rozbiórkowych należy odłączyć wszystkie przyłącza, co należy udokumentować wpisem do dziennika budowy.</w:t>
      </w:r>
    </w:p>
    <w:p>
      <w:pPr>
        <w:pStyle w:val="Normal"/>
        <w:ind w:left="426"/>
        <w:jc w:val="both"/>
        <w:rPr>
          <w:rFonts w:eastAsia="Arial"/>
          <w:b/>
          <w:bCs/>
          <w:kern w:val="2"/>
          <w:szCs w:val="20"/>
          <w:lang w:eastAsia="x-none"/>
        </w:rPr>
      </w:pPr>
      <w:r>
        <w:rPr>
          <w:rFonts w:eastAsia="Arial"/>
          <w:b/>
          <w:bCs/>
          <w:kern w:val="2"/>
          <w:szCs w:val="20"/>
          <w:lang w:eastAsia="x-none"/>
        </w:rPr>
      </w:r>
    </w:p>
    <w:p>
      <w:pPr>
        <w:pStyle w:val="Normal"/>
        <w:ind w:left="426"/>
        <w:jc w:val="both"/>
        <w:rPr>
          <w:rFonts w:eastAsia="Arial"/>
          <w:b/>
          <w:bCs/>
          <w:kern w:val="2"/>
          <w:szCs w:val="20"/>
          <w:lang w:eastAsia="x-none"/>
        </w:rPr>
      </w:pPr>
      <w:r>
        <w:rPr>
          <w:rFonts w:eastAsia="Arial"/>
          <w:b/>
          <w:bCs/>
          <w:kern w:val="2"/>
          <w:szCs w:val="20"/>
          <w:lang w:eastAsia="x-none"/>
        </w:rPr>
      </w:r>
    </w:p>
    <w:p>
      <w:pPr>
        <w:pStyle w:val="GPPOPIS"/>
        <w:jc w:val="both"/>
        <w:rPr/>
      </w:pPr>
      <w:r>
        <w:rPr/>
      </w:r>
    </w:p>
    <w:p>
      <w:pPr>
        <w:pStyle w:val="GPPOPIS"/>
        <w:rPr>
          <w:rFonts w:eastAsia="Arial"/>
          <w:kern w:val="2"/>
          <w:szCs w:val="20"/>
          <w:u w:val="single"/>
          <w:lang w:eastAsia="x-none"/>
        </w:rPr>
      </w:pPr>
      <w:r>
        <w:rPr>
          <w:rFonts w:eastAsia="Arial"/>
          <w:kern w:val="2"/>
          <w:szCs w:val="20"/>
          <w:u w:val="single"/>
          <w:lang w:eastAsia="x-none"/>
        </w:rPr>
        <w:t>Pozostałe obiekty przeznaczone do zachowania:</w:t>
      </w:r>
    </w:p>
    <w:p>
      <w:pPr>
        <w:pStyle w:val="GPPOPIS"/>
        <w:jc w:val="both"/>
        <w:rPr>
          <w:rFonts w:eastAsia="Arial"/>
          <w:kern w:val="2"/>
          <w:szCs w:val="20"/>
          <w:lang w:eastAsia="x-none"/>
        </w:rPr>
      </w:pPr>
      <w:r>
        <w:rPr>
          <w:rFonts w:eastAsia="Arial"/>
          <w:kern w:val="2"/>
          <w:szCs w:val="20"/>
          <w:lang w:eastAsia="x-none"/>
        </w:rPr>
        <w:t>Pozostałe obiekty znajdujące się na działce objętej opracowaniem to wiata ogniskowa oraz wiata gospodarcza. Wszystkie obiekty przeznaczone do zachowania cechują się dobrym stanem technicznym i są obecnie użytkowane przez właściciela. Planuje się również zachowanie istniejącego przyłącza wodociągowego i elektroenergetycznego wraz z podłączeniem do nich projektowanego obiektu.</w:t>
      </w:r>
    </w:p>
    <w:p>
      <w:pPr>
        <w:pStyle w:val="GPPPUNKT11"/>
        <w:numPr>
          <w:ilvl w:val="1"/>
          <w:numId w:val="3"/>
        </w:numPr>
        <w:ind w:hanging="360" w:left="720"/>
        <w:rPr>
          <w:rFonts w:eastAsia="Arial"/>
        </w:rPr>
      </w:pPr>
      <w:bookmarkStart w:id="30" w:name="__RefHeading___Toc6108_1558697229"/>
      <w:bookmarkStart w:id="31" w:name="_Toc185760960"/>
      <w:bookmarkEnd w:id="30"/>
      <w:r>
        <w:rPr>
          <w:rFonts w:eastAsia="Arial"/>
        </w:rPr>
        <w:t>Charakterystyka obiektu przeznaczonego do rozbiórki</w:t>
      </w:r>
      <w:bookmarkEnd w:id="31"/>
    </w:p>
    <w:p>
      <w:pPr>
        <w:pStyle w:val="GPPOPIS"/>
        <w:rPr/>
      </w:pPr>
      <w:r>
        <w:rPr/>
        <w:t>Istniejący obiekt świetlicy wiejskiej zlokalizowany jest we frontowej części działki nr 26/1 w znacznym zbliżeniu do jej frontowej granicy. Obiekt nie jest użytkowany w trybie ciągłym, a jego stan techniczny ulega stopniowemu pogorszeniu w wyniku eksploatacji i braku gruntownych prac konserwacyjnych.</w:t>
      </w:r>
    </w:p>
    <w:p>
      <w:pPr>
        <w:pStyle w:val="GPPpodkreslowny"/>
        <w:rPr/>
      </w:pPr>
      <w:r>
        <w:rPr/>
        <w:t>Stan techniczny obiektu</w:t>
      </w:r>
    </w:p>
    <w:p>
      <w:pPr>
        <w:pStyle w:val="GPPOPIS"/>
        <w:rPr/>
      </w:pPr>
      <w:r>
        <w:rPr/>
        <w:t>Ogólny stan techniczny obiektu można określić jako dostateczny, jednak ocena jego stanu technicznego wykazała następujące problemy: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Konstrukcja budynku – Ściany budynku częściowo zostały wykonane z pecy. Jest to technologia przestarzała i nietrwała. Materiał ten cechuje się niską odpornością na zawilgocenie oraz ograniczoną wytrzymałością mechaniczną, co prowadzi do postępującej degradacji konstrukcji. Zaobserwowano pęknięcia ścian oraz wykruszenia materiału.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Zawilgocenie – Zarówno zewnętrzne, jak i wewnętrzne ściany obiektu są zawilgocone na wysokości poniżej 0,5 m, co jest wynikiem braku odpowiedniej izolacji pionowej i poziomej fundamentów. Wilgoć przenika do wnętrza obiektu, powodując degradację tynków wewnętrznych i zewnętrznych oraz może prowadzić do rozwoju niebezpiecznych dla zdrowia użytkowników pleśni i grzybów.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Mostki termiczne – Konstrukcja budynku nie zapewnia jego szczelności, co skutkuje wysokimi stratami ciepła. Ogrzanie budynku jest nie tylko kosztowne, lecz również nieefektywne. Obiekt nie spełnia aktualnych wymagań dotyczących efektywności energetycznej.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Nieprzystosowanie do potrzeb osób z niepełnosprawnościami – Budynek nie posiada podjazdów ani odpowiednich sanitariatów, co uniemożliwia użytkowanie go przez osoby z ograniczeniami ruchowymi. Przebudowa w celu dostosowania do wymagań dostępności wiązałaby się z koniecznością uwzględnienia znacznych zmian konstrukcyjnych.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Stan instalacji – Instalacje są przestarzałe i nie spełniają współczesnych norm efektywności. Ich modernizacja wymagałaby całkowitej wymiany poszczególnych elementów. </w:t>
      </w:r>
    </w:p>
    <w:p>
      <w:pPr>
        <w:pStyle w:val="GPPpodkreslowny"/>
        <w:rPr/>
      </w:pPr>
      <w:r>
        <w:rPr/>
        <w:t>Uzasadnienie konieczności rozbiórki obiektu</w:t>
      </w:r>
    </w:p>
    <w:p>
      <w:pPr>
        <w:pStyle w:val="GPPOPIS"/>
        <w:rPr/>
      </w:pPr>
      <w:r>
        <w:rPr/>
        <w:t xml:space="preserve"> </w:t>
      </w:r>
      <w:r>
        <w:rPr/>
        <w:t>Z uwagi na poniższe aspekty modernizacja budynku jest nieuzasadniona ekonomicznie i technicznie: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Wysoki koszt modernizacji – Konieczność wymiany wielu elementów obiektu w celu dostosowania go do współczesnych norm użytkowych i energetycznych wiąże się z dużymi nakładami finansowymi.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Brak możliwości osiągnięcia współczesnych standardów – nawet po przeprowadzeniu głębokiej modernizacji istniejącego budynku, osiągnięcie standardów w zakresie efektywności energetycznej, dostępności i funkcjonalności pozostaje mało prawdopodobne.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Kolidowanie z planowaną inwestycją – Ze względu na ograniczenia przestrzenne oraz specyfikę działki, nowy obiekt Wiejskiego Centrum Kultury zaplanowany jest w miejscu, które częściowo pokrywa się z lokalizacją istniejącego budynku. Budowa nowego obiektu bez rozbiórki istniejącego jest niemożliwa. Planowany budynek Wiejskiego Centrum Kultury będzie nowoczesnym, ekologicznym i energooszczędnym budynkiem zaprojektowanym zgodnie z aktualnymi normami budowlanymi oraz zasadami zrównoważonego rozwoju zapewniając komfort użytkowania przez lokalną społeczność. </w:t>
      </w:r>
    </w:p>
    <w:p>
      <w:pPr>
        <w:pStyle w:val="GPPOPIS"/>
        <w:rPr/>
      </w:pPr>
      <w:r>
        <w:rPr/>
        <w:t>Biorąc pod uwagę stan techniczny istniejącego obiektu oraz wyzwania związane z jego modernizacją, jedynym racjonalnym rozwiązaniem jest jego rozbiórka i budowa nowego budynku o podobnej funkcji w zbliżonej lokalizacji. Taki krok pozwoli zrealizować inwestycję w sposób ekonomiczny, funkcjonalny i zgodny z oczekiwaniami użytkowników.</w:t>
      </w:r>
    </w:p>
    <w:p>
      <w:pPr>
        <w:pStyle w:val="Normal"/>
        <w:spacing w:lineRule="auto" w:line="259" w:before="0" w:after="160"/>
        <w:ind w:left="0"/>
        <w:rPr>
          <w:rFonts w:ascii="Calibri" w:hAnsi="Calibri"/>
          <w:sz w:val="20"/>
        </w:rPr>
      </w:pPr>
      <w:r>
        <w:rPr>
          <w:rFonts w:ascii="Calibri" w:hAnsi="Calibri"/>
          <w:sz w:val="20"/>
        </w:rPr>
      </w:r>
      <w:r>
        <w:br w:type="page"/>
      </w:r>
    </w:p>
    <w:p>
      <w:pPr>
        <w:pStyle w:val="GPPPUNKT11"/>
        <w:numPr>
          <w:ilvl w:val="1"/>
          <w:numId w:val="3"/>
        </w:numPr>
        <w:spacing w:before="0" w:after="0"/>
        <w:ind w:hanging="360" w:left="720"/>
        <w:rPr>
          <w:rFonts w:eastAsia="Arial"/>
        </w:rPr>
      </w:pPr>
      <w:bookmarkStart w:id="32" w:name="__RefHeading___Toc6110_1558697229"/>
      <w:bookmarkStart w:id="33" w:name="_Toc185760961"/>
      <w:bookmarkEnd w:id="32"/>
      <w:r>
        <w:rPr>
          <w:rFonts w:eastAsia="Arial"/>
        </w:rPr>
        <w:t>Wielkości charakterystyczne obiektu przeznaczonego do rozbiórki</w:t>
      </w:r>
      <w:bookmarkEnd w:id="33"/>
    </w:p>
    <w:tbl>
      <w:tblPr>
        <w:tblW w:w="8647" w:type="dxa"/>
        <w:jc w:val="left"/>
        <w:tblInd w:w="50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0" w:noVBand="0" w:lastRow="0" w:firstColumn="0" w:lastColumn="0" w:noHBand="0" w:val="0000"/>
      </w:tblPr>
      <w:tblGrid>
        <w:gridCol w:w="7087"/>
        <w:gridCol w:w="1559"/>
      </w:tblGrid>
      <w:tr>
        <w:trPr>
          <w:trHeight w:val="336" w:hRule="atLeast"/>
        </w:trPr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b/>
                <w:bCs/>
                <w:color w:val="000000"/>
              </w:rPr>
            </w:pPr>
            <w:r>
              <w:rPr>
                <w:b/>
                <w:bCs/>
                <w:color w:val="000000"/>
              </w:rPr>
              <w:t>Parterowy budynek świetlicy wiejskiej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cs="Arial"/>
                <w:b/>
                <w:bCs/>
                <w:color w:val="000000"/>
                <w:szCs w:val="20"/>
              </w:rPr>
            </w:pPr>
            <w:r>
              <w:rPr>
                <w:rFonts w:cs="Arial"/>
                <w:b/>
                <w:bCs/>
                <w:color w:val="000000"/>
                <w:szCs w:val="20"/>
              </w:rPr>
              <w:t>Wymiary</w:t>
            </w:r>
          </w:p>
        </w:tc>
      </w:tr>
      <w:tr>
        <w:trPr>
          <w:trHeight w:val="336" w:hRule="atLeast"/>
        </w:trPr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color w:val="000000"/>
              </w:rPr>
            </w:pPr>
            <w:r>
              <w:rPr>
                <w:color w:val="000000"/>
              </w:rPr>
              <w:t>Długość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rFonts w:cs="Arial"/>
                <w:bCs/>
                <w:color w:val="000000"/>
                <w:szCs w:val="20"/>
              </w:rPr>
            </w:pPr>
            <w:r>
              <w:rPr>
                <w:rFonts w:cs="Arial"/>
                <w:bCs/>
                <w:color w:val="000000"/>
                <w:szCs w:val="20"/>
              </w:rPr>
              <w:t xml:space="preserve">14,35 </w:t>
            </w:r>
            <w:r>
              <w:rPr>
                <w:color w:val="000000"/>
                <w:szCs w:val="20"/>
              </w:rPr>
              <w:t>m</w:t>
            </w:r>
          </w:p>
        </w:tc>
      </w:tr>
      <w:tr>
        <w:trPr>
          <w:trHeight w:val="336" w:hRule="atLeast"/>
        </w:trPr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Szerokość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cs="Arial"/>
                <w:bCs/>
                <w:color w:val="000000"/>
                <w:szCs w:val="20"/>
                <w:highlight w:val="yellow"/>
              </w:rPr>
            </w:pPr>
            <w:r>
              <w:rPr>
                <w:rFonts w:cs="Arial"/>
                <w:bCs/>
                <w:color w:val="000000"/>
                <w:szCs w:val="20"/>
              </w:rPr>
              <w:t xml:space="preserve">7,05  </w:t>
            </w:r>
            <w:r>
              <w:rPr>
                <w:color w:val="000000"/>
                <w:szCs w:val="20"/>
              </w:rPr>
              <w:t>m</w:t>
            </w:r>
          </w:p>
        </w:tc>
      </w:tr>
      <w:tr>
        <w:trPr>
          <w:trHeight w:val="336" w:hRule="atLeast"/>
        </w:trPr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color w:val="000000"/>
              </w:rPr>
            </w:pPr>
            <w:r>
              <w:rPr>
                <w:color w:val="000000"/>
              </w:rPr>
              <w:t>Wysokość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cs="Arial"/>
                <w:bCs/>
                <w:color w:val="000000"/>
                <w:szCs w:val="20"/>
              </w:rPr>
            </w:pPr>
            <w:r>
              <w:rPr>
                <w:rFonts w:cs="Arial"/>
                <w:bCs/>
                <w:color w:val="000000"/>
                <w:szCs w:val="20"/>
              </w:rPr>
              <w:t xml:space="preserve">5,10 </w:t>
            </w:r>
            <w:r>
              <w:rPr>
                <w:color w:val="000000"/>
                <w:szCs w:val="20"/>
              </w:rPr>
              <w:t>m</w:t>
            </w:r>
          </w:p>
        </w:tc>
      </w:tr>
      <w:tr>
        <w:trPr>
          <w:trHeight w:val="336" w:hRule="atLeast"/>
        </w:trPr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color w:val="000000"/>
              </w:rPr>
            </w:pPr>
            <w:r>
              <w:rPr>
                <w:color w:val="000000"/>
              </w:rPr>
              <w:t>Powierzchnia zabudowy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cs="Arial"/>
                <w:bCs/>
                <w:color w:val="000000"/>
                <w:szCs w:val="20"/>
                <w:highlight w:val="yellow"/>
              </w:rPr>
            </w:pPr>
            <w:r>
              <w:rPr>
                <w:color w:val="000000"/>
                <w:szCs w:val="20"/>
              </w:rPr>
              <w:t>101,17 m</w:t>
            </w:r>
            <w:r>
              <w:rPr>
                <w:color w:val="000000"/>
                <w:szCs w:val="20"/>
                <w:vertAlign w:val="superscript"/>
              </w:rPr>
              <w:t>2</w:t>
            </w:r>
          </w:p>
        </w:tc>
      </w:tr>
      <w:tr>
        <w:trPr>
          <w:trHeight w:val="336" w:hRule="atLeast"/>
        </w:trPr>
        <w:tc>
          <w:tcPr>
            <w:tcW w:w="7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bottom"/>
          </w:tcPr>
          <w:p>
            <w:pPr>
              <w:pStyle w:val="GPPTabelka"/>
              <w:spacing w:before="0" w:after="40"/>
              <w:rPr>
                <w:color w:val="000000"/>
                <w:highlight w:val="yellow"/>
              </w:rPr>
            </w:pPr>
            <w:r>
              <w:rPr>
                <w:color w:val="000000"/>
              </w:rPr>
              <w:t>Kubatura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bottom"/>
          </w:tcPr>
          <w:p>
            <w:pPr>
              <w:pStyle w:val="GPPTabelka"/>
              <w:spacing w:before="0" w:after="40"/>
              <w:rPr>
                <w:rFonts w:cs="Arial"/>
                <w:bCs/>
                <w:color w:val="000000"/>
                <w:szCs w:val="20"/>
                <w:highlight w:val="yellow"/>
              </w:rPr>
            </w:pPr>
            <w:r>
              <w:rPr>
                <w:rFonts w:cs="Arial"/>
                <w:bCs/>
                <w:color w:val="000000"/>
                <w:szCs w:val="20"/>
              </w:rPr>
              <w:t xml:space="preserve">Ok 500,00 </w:t>
            </w:r>
            <w:r>
              <w:rPr>
                <w:color w:val="000000"/>
                <w:szCs w:val="20"/>
              </w:rPr>
              <w:t>m</w:t>
            </w:r>
            <w:r>
              <w:rPr>
                <w:color w:val="000000"/>
                <w:szCs w:val="20"/>
                <w:vertAlign w:val="superscript"/>
              </w:rPr>
              <w:t>3</w:t>
            </w:r>
          </w:p>
        </w:tc>
      </w:tr>
    </w:tbl>
    <w:p>
      <w:pPr>
        <w:pStyle w:val="GPPPUNKT11"/>
        <w:numPr>
          <w:ilvl w:val="1"/>
          <w:numId w:val="3"/>
        </w:numPr>
        <w:ind w:hanging="360" w:left="720"/>
        <w:rPr>
          <w:rFonts w:eastAsia="Arial"/>
        </w:rPr>
      </w:pPr>
      <w:bookmarkStart w:id="34" w:name="__RefHeading___Toc6112_1558697229"/>
      <w:bookmarkStart w:id="35" w:name="_Toc185760962"/>
      <w:bookmarkEnd w:id="34"/>
      <w:r>
        <w:rPr>
          <w:rFonts w:eastAsia="Arial"/>
        </w:rPr>
        <w:t>Zakres i sposób wykonywania prac rozbiórkowych</w:t>
      </w:r>
      <w:bookmarkEnd w:id="35"/>
    </w:p>
    <w:p>
      <w:pPr>
        <w:pStyle w:val="GPPOPIS"/>
        <w:rPr>
          <w:b/>
          <w:bCs/>
        </w:rPr>
      </w:pPr>
      <w:r>
        <w:rPr>
          <w:b/>
          <w:bCs/>
        </w:rPr>
        <w:t>Rodzaj wykonywanych robót:</w:t>
      </w:r>
    </w:p>
    <w:p>
      <w:pPr>
        <w:pStyle w:val="GPPOPIS"/>
        <w:numPr>
          <w:ilvl w:val="0"/>
          <w:numId w:val="8"/>
        </w:numPr>
        <w:rPr/>
      </w:pPr>
      <w:r>
        <w:rPr/>
        <w:t>rozbiórka budynku (ściany murowane, elementy betonowe i żelbetowe, konstrukcje drewniane) z wykopaniem i usunięciem fundamentów włącznie.</w:t>
      </w:r>
    </w:p>
    <w:p>
      <w:pPr>
        <w:pStyle w:val="GPPOPIS"/>
        <w:numPr>
          <w:ilvl w:val="0"/>
          <w:numId w:val="8"/>
        </w:numPr>
        <w:rPr/>
      </w:pPr>
      <w:r>
        <w:rPr/>
        <w:t>demontaż wewnętrznych instalacji</w:t>
        <w:br/>
      </w:r>
    </w:p>
    <w:p>
      <w:pPr>
        <w:pStyle w:val="GPPOPIS"/>
        <w:rPr>
          <w:b/>
          <w:bCs/>
        </w:rPr>
      </w:pPr>
      <w:r>
        <w:rPr>
          <w:b/>
          <w:bCs/>
        </w:rPr>
        <w:t>Zakres wykonywanych robót:</w:t>
      </w:r>
    </w:p>
    <w:p>
      <w:pPr>
        <w:pStyle w:val="GPPOPIS"/>
        <w:numPr>
          <w:ilvl w:val="0"/>
          <w:numId w:val="9"/>
        </w:numPr>
        <w:rPr/>
      </w:pPr>
      <w:r>
        <w:rPr/>
        <w:t>rozbiórka budynku (zgodnie z załączonym planem sytuacyjnym). Budynek ma być rozebrany w całości, bez pozostawienia żadnych jego elementów. W zakresie rozbiórki będzie także likwidacja elementów instalacji.</w:t>
      </w:r>
    </w:p>
    <w:p>
      <w:pPr>
        <w:pStyle w:val="GPPOPIS"/>
        <w:rPr/>
      </w:pPr>
      <w:r>
        <w:rPr/>
      </w:r>
    </w:p>
    <w:p>
      <w:pPr>
        <w:pStyle w:val="GPPOPIS"/>
        <w:rPr>
          <w:b/>
          <w:bCs/>
        </w:rPr>
      </w:pPr>
      <w:r>
        <w:rPr>
          <w:b/>
          <w:bCs/>
        </w:rPr>
        <w:t>Sposób wykonywania robót:</w:t>
      </w:r>
    </w:p>
    <w:p>
      <w:pPr>
        <w:pStyle w:val="GPPOPIS"/>
        <w:numPr>
          <w:ilvl w:val="0"/>
          <w:numId w:val="9"/>
        </w:numPr>
        <w:rPr/>
      </w:pPr>
      <w:r>
        <w:rPr/>
        <w:t>przed przystąpieniem do prac należy ręcznie usunąć nagromadzone elementy wyposażenia</w:t>
      </w:r>
    </w:p>
    <w:p>
      <w:pPr>
        <w:pStyle w:val="GPPOPIS"/>
        <w:numPr>
          <w:ilvl w:val="0"/>
          <w:numId w:val="9"/>
        </w:numPr>
        <w:rPr/>
      </w:pPr>
      <w:r>
        <w:rPr/>
        <w:t>roboty demontażowe wykonane zostaną w sposób tradycyjny, przy użyciu elektromechanicznych</w:t>
      </w:r>
    </w:p>
    <w:p>
      <w:pPr>
        <w:pStyle w:val="GPPOPIS"/>
        <w:ind w:left="1287"/>
        <w:rPr/>
      </w:pPr>
      <w:r>
        <w:rPr/>
        <w:t xml:space="preserve">narzędzi ręcznych. Nie ma konieczności zachowywania fragmentów budynków. </w:t>
      </w:r>
    </w:p>
    <w:p>
      <w:pPr>
        <w:pStyle w:val="GPPOPIS"/>
        <w:numPr>
          <w:ilvl w:val="0"/>
          <w:numId w:val="9"/>
        </w:numPr>
        <w:rPr/>
      </w:pPr>
      <w:r>
        <w:rPr/>
        <w:t xml:space="preserve">elementy pobudowlane należy zutylizować w sposób zgodny z prawem. Rozbiórka obiektów budowlanych nie spowoduje pogorszenia stanu środowiska. Zgodnie z oświadczeniem inwestora budynki nie posiadają żadnych materiałów zawierających substancje szkodliwe. </w:t>
      </w:r>
    </w:p>
    <w:p>
      <w:pPr>
        <w:pStyle w:val="GPPOPIS"/>
        <w:ind w:left="1287"/>
        <w:rPr>
          <w:highlight w:val="yellow"/>
        </w:rPr>
      </w:pPr>
      <w:r>
        <w:rPr>
          <w:highlight w:val="yellow"/>
        </w:rPr>
      </w:r>
    </w:p>
    <w:p>
      <w:pPr>
        <w:pStyle w:val="GPPPUNKT11"/>
        <w:numPr>
          <w:ilvl w:val="1"/>
          <w:numId w:val="3"/>
        </w:numPr>
        <w:ind w:hanging="360" w:left="720"/>
        <w:rPr>
          <w:rFonts w:eastAsia="Arial"/>
        </w:rPr>
      </w:pPr>
      <w:bookmarkStart w:id="36" w:name="__RefHeading___Toc6114_1558697229"/>
      <w:bookmarkStart w:id="37" w:name="_Toc185760963"/>
      <w:bookmarkEnd w:id="36"/>
      <w:r>
        <w:rPr>
          <w:rFonts w:eastAsia="Arial"/>
        </w:rPr>
        <w:t>Opis rozbiórki elementów budynku</w:t>
      </w:r>
      <w:bookmarkEnd w:id="37"/>
    </w:p>
    <w:p>
      <w:pPr>
        <w:pStyle w:val="GPPpodkreslowny"/>
        <w:rPr/>
      </w:pPr>
      <w:r>
        <w:rPr/>
        <w:t>Rozbiórki instalacji wodociągowej i kanalizacyjnej</w:t>
      </w:r>
    </w:p>
    <w:p>
      <w:pPr>
        <w:pStyle w:val="GPPOPIS"/>
        <w:rPr/>
      </w:pPr>
      <w:r>
        <w:rPr/>
        <w:t>Odciąć podejście wodociągowe i kanalizacyjne od głównej instalacji wodociągowej oraz kanalizacji sanitarnej. Wszystkie prace związane z demontażem instalacji wod-kan wykonywać po odcięciu wody w instalacji wodociągowej.</w:t>
      </w:r>
    </w:p>
    <w:p>
      <w:pPr>
        <w:pStyle w:val="GPPOPIS"/>
        <w:rPr/>
      </w:pPr>
      <w:r>
        <w:rPr/>
        <w:t>Elementy demontowane, składować w miejscach do tego wyznaczonych.</w:t>
      </w:r>
    </w:p>
    <w:p>
      <w:pPr>
        <w:pStyle w:val="GPPpodkreslowny"/>
        <w:rPr/>
      </w:pPr>
      <w:r>
        <w:rPr/>
        <w:t>Instalacja elektryczna</w:t>
      </w:r>
    </w:p>
    <w:p>
      <w:pPr>
        <w:pStyle w:val="GPPOPIS"/>
        <w:rPr/>
      </w:pPr>
      <w:r>
        <w:rPr/>
        <w:t>W zakresie wewnętrznych instalacji elektrycznych: zdemontować urządzenia elektryczne. Okablowanie usuwać na bieżąco podczas demontażu elementów budowlanych. Prace związane z demontażem instalacji elektrycznych prowadzić po uprzednim upewnieniu się, że podrozdzielnica obsługująca obiekt została wyłączona. Sprawdzić czy którekolwiek z urządzeń nie jest zasilane z innych podrozdzielnic.</w:t>
      </w:r>
    </w:p>
    <w:p>
      <w:pPr>
        <w:pStyle w:val="GPPOPIS"/>
        <w:rPr/>
      </w:pPr>
      <w:r>
        <w:rPr/>
        <w:t>Elementy demontowane, składować w miejscach do tego wyznaczonych.</w:t>
      </w:r>
    </w:p>
    <w:p>
      <w:pPr>
        <w:pStyle w:val="GPPpodkreslowny"/>
        <w:rPr>
          <w:rFonts w:cs="Calibri"/>
        </w:rPr>
      </w:pPr>
      <w:r>
        <w:rPr/>
        <w:t>Demontaż pokrycia dachowego i elementów konstrukcji dachu</w:t>
      </w:r>
      <w:r>
        <w:rPr>
          <w:rFonts w:cs="Calibri"/>
        </w:rPr>
        <w:t xml:space="preserve"> </w:t>
      </w:r>
    </w:p>
    <w:p>
      <w:pPr>
        <w:pStyle w:val="GPPOPIS"/>
        <w:rPr>
          <w:rFonts w:cs="Calibri"/>
          <w:b/>
        </w:rPr>
      </w:pPr>
      <w:r>
        <w:rPr/>
        <w:t xml:space="preserve">Ustawienie rusztowań, ręczny demontaż elementów dachu, tj. rynien, rur spustowych, obróbek, rozbiórka pokrycia dachu oraz jego konstrukcji, demontowane elementy opuszczać delikatnie na grunt i składować w wydzielonym miejscu. </w:t>
      </w:r>
    </w:p>
    <w:p>
      <w:pPr>
        <w:pStyle w:val="GPPOPIS"/>
        <w:rPr/>
      </w:pPr>
      <w:r>
        <w:rPr/>
      </w:r>
    </w:p>
    <w:p>
      <w:pPr>
        <w:pStyle w:val="GPPpodkreslowny"/>
        <w:rPr/>
      </w:pPr>
      <w:r>
        <w:rPr/>
        <w:t>Rozbiórka stropów</w:t>
      </w:r>
    </w:p>
    <w:p>
      <w:pPr>
        <w:pStyle w:val="GPPOPIS"/>
        <w:rPr/>
      </w:pPr>
      <w:r>
        <w:rPr/>
        <w:t>Elementy konstrukcji nośnej demontować w kolejności odwrotnej do ich wybudowania. Elementy demontowane, składować w miejscach do tego wyznaczonych.</w:t>
      </w:r>
    </w:p>
    <w:p>
      <w:pPr>
        <w:pStyle w:val="GPPpodkreslowny"/>
        <w:rPr/>
      </w:pPr>
      <w:r>
        <w:rPr/>
        <w:t>Rozbiórka ścian wewnętrznych budynków oraz stolarki okiennej i drzwiowej</w:t>
      </w:r>
    </w:p>
    <w:p>
      <w:pPr>
        <w:pStyle w:val="GPPOPIS"/>
        <w:rPr/>
      </w:pPr>
      <w:r>
        <w:rPr/>
        <w:t>Rozbiórki ścian murowanych prowadzić zdejmując kolejne warstwy cegieł w polach zapewniających</w:t>
      </w:r>
    </w:p>
    <w:p>
      <w:pPr>
        <w:pStyle w:val="GPPOPIS"/>
        <w:rPr/>
      </w:pPr>
      <w:r>
        <w:rPr/>
        <w:t>stateczność rozbieranych fragmentów. Rozbiórki ścian prowadzić sukcesywnie idąc od góry, nie wycinać</w:t>
      </w:r>
    </w:p>
    <w:p>
      <w:pPr>
        <w:pStyle w:val="GPPOPIS"/>
        <w:rPr/>
      </w:pPr>
      <w:r>
        <w:rPr/>
        <w:t>fragmentów murów. Nie podcinać murów i nie przewracać ścian. Dokonać rozbiórki fundamentów wraz z wykonaniem zasypek uwzględniając wymaganą stabilizacją gruntu i wyrównanie terenu. Przed rozbiórką ścian wymontować wewnętrzne drzwi, okna i biały montaż oraz urządzenia kotłowni.</w:t>
      </w:r>
    </w:p>
    <w:p>
      <w:pPr>
        <w:pStyle w:val="GPPpodkreslowny"/>
        <w:rPr/>
      </w:pPr>
      <w:r>
        <w:rPr/>
        <w:t>Rozbiórka posadzek</w:t>
      </w:r>
    </w:p>
    <w:p>
      <w:pPr>
        <w:pStyle w:val="GPPOPIS"/>
        <w:rPr/>
      </w:pPr>
      <w:r>
        <w:rPr/>
        <w:t>W końcowym etapie dokonać rozbiórki posadzki.</w:t>
      </w:r>
    </w:p>
    <w:p>
      <w:pPr>
        <w:pStyle w:val="GPPPUNKT11"/>
        <w:numPr>
          <w:ilvl w:val="1"/>
          <w:numId w:val="3"/>
        </w:numPr>
        <w:ind w:hanging="360" w:left="720"/>
        <w:rPr>
          <w:rFonts w:eastAsia="Arial"/>
        </w:rPr>
      </w:pPr>
      <w:bookmarkStart w:id="38" w:name="__RefHeading___Toc6116_1558697229"/>
      <w:bookmarkStart w:id="39" w:name="_Toc185760964"/>
      <w:bookmarkEnd w:id="38"/>
      <w:r>
        <w:rPr>
          <w:rFonts w:eastAsia="Arial"/>
        </w:rPr>
        <w:t>Wytyczne do technologii prowadzenia robót rozbiórkowych</w:t>
      </w:r>
      <w:bookmarkEnd w:id="39"/>
    </w:p>
    <w:p>
      <w:pPr>
        <w:pStyle w:val="GPPOPIS"/>
        <w:jc w:val="both"/>
        <w:rPr/>
      </w:pPr>
      <w:r>
        <w:rPr/>
        <w:t>Przed przystąpieniem do robót rozbiórkowych należy wykonać wszystkie niezbędne zabezpieczenia terenu – wygrodzić przed dostępem osób postronnych oraz umieścić znak o grożącym niebezpieczeństwie. Obiekty należy rozebrać w całości, z wykopaniem i usunięciem fundamentów włącznie. Roboty demontażowe prowadzić ręcznie oraz z użyciem elektronarzędzi i maszynowo. W projekcie przewidziano rozbiórkę konstrukcji nośnej z użyciem maszyn i sprzętu. Pozostałe elementy budynków można rozbierać ręcznie lub z użyciem lekkiego sprzętu. Elementy stalowe, instalacje, części wyposażenia, oraz inne elementy niepodlegające rozdrobnieniu należy pociąć na drobne części na poziomie ich wbudowania i przetransportować na teren składowania. Przy ręcznych robotach rozbiórkę prowadzić sukcesywnie zaczynając od najwyższego poziomu, stosując następujące zasady:</w:t>
      </w:r>
    </w:p>
    <w:p>
      <w:pPr>
        <w:pStyle w:val="GPPOPIS"/>
        <w:numPr>
          <w:ilvl w:val="0"/>
          <w:numId w:val="9"/>
        </w:numPr>
        <w:jc w:val="both"/>
        <w:rPr/>
      </w:pPr>
      <w:r>
        <w:rPr/>
        <w:t>Rozbiórkę prowadzić tylko na jednym poziomie (zaczynając od góry);</w:t>
      </w:r>
    </w:p>
    <w:p>
      <w:pPr>
        <w:pStyle w:val="GPPOPIS"/>
        <w:numPr>
          <w:ilvl w:val="0"/>
          <w:numId w:val="9"/>
        </w:numPr>
        <w:jc w:val="both"/>
        <w:rPr/>
      </w:pPr>
      <w:r>
        <w:rPr/>
        <w:t>Rozbiórkę ścian prowadzić sukcesywnie idąc od góry, w przypadku murów z elementów drobnowymiarowych nie wycinać fragmentów murów;</w:t>
      </w:r>
    </w:p>
    <w:p>
      <w:pPr>
        <w:pStyle w:val="GPPOPIS"/>
        <w:numPr>
          <w:ilvl w:val="0"/>
          <w:numId w:val="9"/>
        </w:numPr>
        <w:jc w:val="both"/>
        <w:rPr/>
      </w:pPr>
      <w:r>
        <w:rPr/>
        <w:t xml:space="preserve">Rozbiórkę fragmentów ogrodzeń prowadzić w polach zapewniających stateczność z pozostawieniem prostopadłych fragmentów; </w:t>
      </w:r>
    </w:p>
    <w:p>
      <w:pPr>
        <w:pStyle w:val="GPPOPIS"/>
        <w:numPr>
          <w:ilvl w:val="0"/>
          <w:numId w:val="9"/>
        </w:numPr>
        <w:jc w:val="both"/>
        <w:rPr/>
      </w:pPr>
      <w:r>
        <w:rPr/>
        <w:t>Rozbiórki ścian szkieletowych oraz murów prowadzić w polach zapewniających stateczność z pozostawieniem prostopadłych fragmentów;</w:t>
      </w:r>
    </w:p>
    <w:p>
      <w:pPr>
        <w:pStyle w:val="GPPOPIS"/>
        <w:numPr>
          <w:ilvl w:val="0"/>
          <w:numId w:val="9"/>
        </w:numPr>
        <w:jc w:val="both"/>
        <w:rPr/>
      </w:pPr>
      <w:r>
        <w:rPr/>
        <w:t>Nie podcinać murów i nie przewracać ścian.</w:t>
      </w:r>
    </w:p>
    <w:p>
      <w:pPr>
        <w:pStyle w:val="GPPOPIS"/>
        <w:numPr>
          <w:ilvl w:val="0"/>
          <w:numId w:val="9"/>
        </w:numPr>
        <w:jc w:val="both"/>
        <w:rPr/>
      </w:pPr>
      <w:r>
        <w:rPr/>
        <w:t>W trakcie prowadzenia robót materiały sukcesywnie usuwać poza budynek. Gruz nie może zalegać na stropach. Gruz i pozostałe elementy z rozbiórki należy składować na terenie do tego wyznaczonym, skąd nastąpi ich wywóz do utylizacji.</w:t>
      </w:r>
    </w:p>
    <w:p>
      <w:pPr>
        <w:pStyle w:val="GPPpodkreslowny"/>
        <w:rPr/>
      </w:pPr>
      <w:r>
        <w:rPr/>
        <w:t>Roboty końcowe i porządkowe</w:t>
      </w:r>
    </w:p>
    <w:p>
      <w:pPr>
        <w:pStyle w:val="GPPOPIS"/>
        <w:jc w:val="both"/>
        <w:rPr/>
      </w:pPr>
      <w:r>
        <w:rPr/>
        <w:t xml:space="preserve">Po zakończeniu rozbiórki przeprowadzić roboty porządkowe. Teren należy wyrównać i doprowadzić </w:t>
        <w:br/>
        <w:t>do  porządku.</w:t>
      </w:r>
    </w:p>
    <w:p>
      <w:pPr>
        <w:pStyle w:val="GPPOPIS"/>
        <w:jc w:val="both"/>
        <w:rPr/>
      </w:pPr>
      <w:r>
        <w:rPr/>
        <w:t xml:space="preserve">Roboty rozbiórkowe winne być prowadzone pod nadzorem osoby uprawnionej do wykonywania robót budowlano – montażowych i rozbiórkowych. Pracownicy zatrudnieni przy rozbiórce powinni być zapoznani z kolejnością robót i przeszkoleni w zakresie bezpiecznych metod rozbiórki. Pracowników zatrudnionych przy rozbiórce należy wyposażyć w indywidualne środki ochrony BHP. </w:t>
      </w:r>
    </w:p>
    <w:p>
      <w:pPr>
        <w:pStyle w:val="GPPPUNKT1"/>
        <w:numPr>
          <w:ilvl w:val="0"/>
          <w:numId w:val="3"/>
        </w:numPr>
        <w:rPr/>
      </w:pPr>
      <w:bookmarkStart w:id="40" w:name="__RefHeading___Toc354484844"/>
      <w:bookmarkStart w:id="41" w:name="_Toc185760965"/>
      <w:bookmarkStart w:id="42" w:name="_Toc52561096"/>
      <w:bookmarkStart w:id="43" w:name="_Toc23879239"/>
      <w:bookmarkStart w:id="44" w:name="_Toc23879016"/>
      <w:bookmarkStart w:id="45" w:name="_Toc23878793"/>
      <w:bookmarkStart w:id="46" w:name="_Toc23787868"/>
      <w:bookmarkStart w:id="47" w:name="_Toc23783274"/>
      <w:bookmarkStart w:id="48" w:name="_Toc23782925"/>
      <w:bookmarkStart w:id="49" w:name="_Toc23879238"/>
      <w:bookmarkStart w:id="50" w:name="_Toc23879015"/>
      <w:bookmarkStart w:id="51" w:name="_Toc23878792"/>
      <w:bookmarkStart w:id="52" w:name="_Toc23787867"/>
      <w:bookmarkStart w:id="53" w:name="_Toc23783273"/>
      <w:bookmarkStart w:id="54" w:name="_Toc23782924"/>
      <w:bookmarkStart w:id="55" w:name="_Toc23879237"/>
      <w:bookmarkStart w:id="56" w:name="_Toc23879014"/>
      <w:bookmarkStart w:id="57" w:name="_Toc23878791"/>
      <w:bookmarkStart w:id="58" w:name="_Toc23787866"/>
      <w:bookmarkStart w:id="59" w:name="_Toc23783272"/>
      <w:bookmarkStart w:id="60" w:name="_Toc23782923"/>
      <w:bookmarkEnd w:id="40"/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r>
        <w:rPr/>
        <w:t>Projektowane zagospodarowanie działki</w:t>
      </w:r>
      <w:bookmarkEnd w:id="41"/>
      <w:bookmarkEnd w:id="42"/>
    </w:p>
    <w:p>
      <w:pPr>
        <w:pStyle w:val="GPPOPIS"/>
        <w:rPr/>
      </w:pPr>
      <w:r>
        <w:rPr/>
        <w:t xml:space="preserve">Projektowane zagospodarowanie działki obejmować będzie budowę </w:t>
      </w:r>
      <w:r>
        <w:rPr>
          <w:rFonts w:cs="Arial"/>
          <w:spacing w:val="-5"/>
        </w:rPr>
        <w:t>budynku wiejskiego centrum kultury z infrastrukturą towarzyszącą</w:t>
      </w:r>
      <w:r>
        <w:rPr/>
        <w:t>.</w:t>
        <w:br/>
        <w:t>Do zabudowy prowadzić będzie utwardzony podjazd. Na działce zaplanowano miejsce do gromadzenia odpadów. Dodatkowo planuje się zachowanie dwóch istniejących wiat.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61" w:name="__RefHeading___Toc6118_1558697229"/>
      <w:bookmarkStart w:id="62" w:name="_Toc185760966"/>
      <w:bookmarkEnd w:id="61"/>
      <w:r>
        <w:rPr/>
        <w:t>Urządzenia budowlane związane z obiektami budowlanymi</w:t>
      </w:r>
      <w:bookmarkEnd w:id="62"/>
    </w:p>
    <w:p>
      <w:pPr>
        <w:pStyle w:val="GPPOPIS"/>
        <w:rPr/>
      </w:pPr>
      <w:r>
        <w:rPr/>
        <w:t>Działka wyposażona będzie w urządzenia budowlane związane z obiektem budowlanym, zapewniające możliwość użytkowania tego obiektu:</w:t>
      </w:r>
    </w:p>
    <w:p>
      <w:pPr>
        <w:pStyle w:val="GPPOPIS"/>
        <w:numPr>
          <w:ilvl w:val="0"/>
          <w:numId w:val="6"/>
        </w:numPr>
        <w:rPr/>
      </w:pPr>
      <w:r>
        <w:rPr/>
        <w:t>Utwardzony podjazd wraz z miejscami postojowymi przeznaczonymi dla samochodów osobowych,</w:t>
      </w:r>
    </w:p>
    <w:p>
      <w:pPr>
        <w:pStyle w:val="GPPOPIS"/>
        <w:numPr>
          <w:ilvl w:val="0"/>
          <w:numId w:val="6"/>
        </w:numPr>
        <w:rPr/>
      </w:pPr>
      <w:r>
        <w:rPr/>
        <w:t>Utwardzenie przeznaczone pod miejsce gromadzenia odpadów,</w:t>
      </w:r>
    </w:p>
    <w:p>
      <w:pPr>
        <w:pStyle w:val="GPPOPIS"/>
        <w:numPr>
          <w:ilvl w:val="0"/>
          <w:numId w:val="6"/>
        </w:numPr>
        <w:rPr/>
      </w:pPr>
      <w:r>
        <w:rPr/>
        <w:t>Ogrodzenie wraz z bramą oraz furtką.</w:t>
      </w:r>
    </w:p>
    <w:p>
      <w:pPr>
        <w:pStyle w:val="GPPOPIS"/>
        <w:rPr/>
      </w:pPr>
      <w:r>
        <w:rPr/>
        <w:t>Działka będzie wyposażona w infrastrukturę techniczną, w której skład wchodzić będą: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Woda bytowa,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kanalizacja sanitarna wraz ze zbiornikiem bezodpływowym na nieczystości ∅1000,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linie kablowe elektroenergetyczne i oświetleniowe.</w:t>
      </w:r>
    </w:p>
    <w:p>
      <w:pPr>
        <w:pStyle w:val="GPPOPIS"/>
        <w:rPr/>
      </w:pPr>
      <w:r>
        <w:rPr/>
        <w:t xml:space="preserve">Pozostałe informacje związane z projektowaną infrastrukturą techniczną bezpośrednio związaną </w:t>
        <w:br/>
        <w:t>z planowanym zamierzeniem budowlanym opisano szerzej w dalszej części opracowania.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63" w:name="__RefHeading___Toc6120_1558697229"/>
      <w:bookmarkStart w:id="64" w:name="_Toc185760967"/>
      <w:bookmarkStart w:id="65" w:name="_Toc52561097"/>
      <w:bookmarkEnd w:id="63"/>
      <w:r>
        <w:rPr/>
        <w:t>Sposób odprowadzania lub oczyszczania ścieków</w:t>
      </w:r>
      <w:bookmarkEnd w:id="64"/>
      <w:bookmarkEnd w:id="65"/>
    </w:p>
    <w:p>
      <w:pPr>
        <w:pStyle w:val="GPPOPIS"/>
        <w:rPr/>
      </w:pPr>
      <w:r>
        <w:rPr/>
        <w:t>Ścieki sanitarne odprowadzane będą do projektowanego zbiornika bezodpływowego na terenie Inwestora. Lokalizacja obiektu zgodnie z załącznikiem graficznym – projektem zagospodarowania terenu. Szczegółowe rozwiązania przedstawiono w dalszej części opracowania.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66" w:name="__RefHeading___Toc6122_1558697229"/>
      <w:bookmarkStart w:id="67" w:name="_Toc185760968"/>
      <w:bookmarkStart w:id="68" w:name="_Toc52561098"/>
      <w:bookmarkEnd w:id="66"/>
      <w:r>
        <w:rPr/>
        <w:t>Układ komunikacyjny</w:t>
      </w:r>
      <w:bookmarkEnd w:id="67"/>
      <w:bookmarkEnd w:id="68"/>
    </w:p>
    <w:p>
      <w:pPr>
        <w:pStyle w:val="GPPOPIS"/>
        <w:rPr/>
      </w:pPr>
      <w:r>
        <w:rPr/>
        <w:t xml:space="preserve">Zjazd na teren planuje się z drogi publicznej zlokalizowanej na działce 68, obręb Lipnica. </w:t>
        <w:br/>
        <w:t>Część działki od zjazdu zostanie utwardzona. Zaplanowano wymagane zapisami MPZP dwa miejsca postojowe w granicach działki budowlanej.</w:t>
      </w:r>
    </w:p>
    <w:p>
      <w:pPr>
        <w:pStyle w:val="GPPOPIS"/>
        <w:rPr/>
      </w:pPr>
      <w:r>
        <w:rPr/>
        <w:t xml:space="preserve">Zapewnione zostanie również utwardzone dojście do drzwi wejściowych.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69" w:name="__RefHeading___Toc6124_1558697229"/>
      <w:bookmarkStart w:id="70" w:name="_Toc185760969"/>
      <w:bookmarkEnd w:id="69"/>
      <w:r>
        <w:rPr/>
        <w:t>Sposób dostępu do drogi publicznej</w:t>
      </w:r>
      <w:bookmarkEnd w:id="70"/>
    </w:p>
    <w:p>
      <w:pPr>
        <w:pStyle w:val="GPPOPIS"/>
        <w:rPr/>
      </w:pPr>
      <w:r>
        <w:rPr/>
        <w:t>Wjazd na działkę odbywać się będzie drogi publicznej na działce nr 68, obręb 0010.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71" w:name="__RefHeading___Toc6126_1558697229"/>
      <w:bookmarkStart w:id="72" w:name="_Toc185760970"/>
      <w:bookmarkStart w:id="73" w:name="_Toc52561099"/>
      <w:bookmarkEnd w:id="71"/>
      <w:r>
        <w:rPr/>
        <w:t>Parametry techniczne sieci i urządzeń uzbrojenia terenu</w:t>
      </w:r>
      <w:bookmarkEnd w:id="72"/>
      <w:bookmarkEnd w:id="73"/>
    </w:p>
    <w:p>
      <w:pPr>
        <w:pStyle w:val="GPPOPIS"/>
        <w:rPr/>
      </w:pPr>
      <w:r>
        <w:rPr/>
        <w:t>Cały teren będzie wyposażony w infrastrukturę techniczną, w której skład wchodzić będą: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Wodociąg – 0,75 m3/dobę, średnie ciśnienie dobowe ok. 2,5 atm,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kanalizacja sanitarna wraz ze zbiornikiem bezodpływowym ∅1000,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linie kablowe elektroenergetyczne i oświetleniowe.</w:t>
      </w:r>
    </w:p>
    <w:p>
      <w:pPr>
        <w:pStyle w:val="GPPOPIS"/>
        <w:rPr/>
      </w:pPr>
      <w:r>
        <w:rPr/>
        <w:t>Teren inwestycji obecnie jest uzbrojony w instalację wody bytowej, kanalizację sanitarną wraz ze zbiornikiem bezodpływowym oraz napowietrzne przyłącze elektroenergetyczne. Część infrastruktury, kolidująca z planowanym przedsięwzięciem, zostanie usunięta. Istniejące przyłącza zostaną wykorzystane na potrzeby projektowanego budynku.</w:t>
      </w:r>
    </w:p>
    <w:p>
      <w:pPr>
        <w:pStyle w:val="GPPOPIS"/>
        <w:rPr/>
      </w:pPr>
      <w:r>
        <w:rPr/>
        <w:t xml:space="preserve">Pozostałe informacje związane z projektowaną infrastrukturą techniczną bezpośrednio związaną </w:t>
        <w:br/>
        <w:t>z planowanym zamierzeniem budowlanym opisano szerzej w dalszej części opracowania.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74" w:name="__RefHeading___Toc6128_1558697229"/>
      <w:bookmarkStart w:id="75" w:name="_Toc185760971"/>
      <w:bookmarkStart w:id="76" w:name="_Toc52561100"/>
      <w:bookmarkEnd w:id="74"/>
      <w:r>
        <w:rPr/>
        <w:t>Ukształtowanie terenu i układ zieleni</w:t>
      </w:r>
      <w:bookmarkEnd w:id="75"/>
      <w:bookmarkEnd w:id="76"/>
    </w:p>
    <w:p>
      <w:pPr>
        <w:pStyle w:val="GPPOPIS"/>
        <w:rPr/>
      </w:pPr>
      <w:r>
        <w:rPr/>
        <w:t xml:space="preserve">Omawiany teren jest płaski, rzędna terenu kształtuje się na poziomie od 120,50 do 120,70 m n.p.m. </w:t>
        <w:br/>
        <w:t xml:space="preserve">Na działce nie znajdują się kolidujące z inwestycją drzewa, ani inna roślinność wymagająca uzyskania decyzji o pozwoleniu na wycinkę.  </w:t>
      </w:r>
    </w:p>
    <w:p>
      <w:pPr>
        <w:pStyle w:val="GPPOPIS"/>
        <w:rPr/>
      </w:pPr>
      <w:r>
        <w:rPr/>
      </w:r>
    </w:p>
    <w:p>
      <w:pPr>
        <w:pStyle w:val="GPPPUNKT1"/>
        <w:numPr>
          <w:ilvl w:val="0"/>
          <w:numId w:val="3"/>
        </w:numPr>
        <w:rPr/>
      </w:pPr>
      <w:bookmarkStart w:id="77" w:name="__RefHeading___Toc6130_1558697229"/>
      <w:bookmarkStart w:id="78" w:name="_Toc185760972"/>
      <w:bookmarkEnd w:id="77"/>
      <w:r>
        <w:rPr/>
        <w:t>Zestawienie</w:t>
      </w:r>
      <w:bookmarkEnd w:id="78"/>
    </w:p>
    <w:tbl>
      <w:tblPr>
        <w:tblW w:w="4700" w:type="pct"/>
        <w:jc w:val="left"/>
        <w:tblInd w:w="377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895"/>
        <w:gridCol w:w="5293"/>
        <w:gridCol w:w="2337"/>
      </w:tblGrid>
      <w:tr>
        <w:trPr/>
        <w:tc>
          <w:tcPr>
            <w:tcW w:w="61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bottom"/>
          </w:tcPr>
          <w:p>
            <w:pPr>
              <w:pStyle w:val="GPPTabelka"/>
              <w:spacing w:before="0" w:after="40"/>
              <w:rPr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Działka 26/1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 xml:space="preserve">  </w:t>
            </w:r>
            <w:r>
              <w:rPr>
                <w:color w:val="auto"/>
              </w:rPr>
              <w:t>773,42 m</w:t>
            </w:r>
            <w:r>
              <w:rPr>
                <w:color w:val="auto"/>
                <w:vertAlign w:val="superscript"/>
              </w:rPr>
              <w:t>2</w:t>
            </w:r>
          </w:p>
        </w:tc>
      </w:tr>
      <w:tr>
        <w:trPr/>
        <w:tc>
          <w:tcPr>
            <w:tcW w:w="61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bottom"/>
          </w:tcPr>
          <w:p>
            <w:pPr>
              <w:pStyle w:val="GPPTabelka"/>
              <w:spacing w:before="0" w:after="40"/>
              <w:rPr>
                <w:b/>
                <w:bCs/>
                <w:color w:val="auto"/>
              </w:rPr>
            </w:pPr>
            <w:r>
              <w:rPr>
                <w:b/>
                <w:bCs/>
                <w:color w:val="auto"/>
              </w:rPr>
              <w:t>Terem 2U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 xml:space="preserve">  </w:t>
            </w:r>
            <w:r>
              <w:rPr>
                <w:color w:val="auto"/>
              </w:rPr>
              <w:t>773,42 m</w:t>
            </w:r>
            <w:r>
              <w:rPr>
                <w:color w:val="auto"/>
                <w:vertAlign w:val="superscript"/>
              </w:rPr>
              <w:t xml:space="preserve">2 </w:t>
            </w:r>
            <w:r>
              <w:rPr>
                <w:color w:val="auto"/>
              </w:rPr>
              <w:t>( 100 %)</w:t>
            </w:r>
          </w:p>
        </w:tc>
      </w:tr>
      <w:tr>
        <w:trPr/>
        <w:tc>
          <w:tcPr>
            <w:tcW w:w="61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powierzchnia zabudowy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 xml:space="preserve">  </w:t>
            </w:r>
            <w:r>
              <w:rPr>
                <w:color w:val="auto"/>
              </w:rPr>
              <w:t>127,67 m</w:t>
            </w:r>
            <w:r>
              <w:rPr>
                <w:color w:val="auto"/>
                <w:vertAlign w:val="superscript"/>
              </w:rPr>
              <w:t>2</w:t>
            </w:r>
            <w:r>
              <w:rPr>
                <w:color w:val="auto"/>
              </w:rPr>
              <w:t xml:space="preserve"> (16,51 %)</w:t>
            </w:r>
          </w:p>
        </w:tc>
      </w:tr>
      <w:tr>
        <w:trPr/>
        <w:tc>
          <w:tcPr>
            <w:tcW w:w="895" w:type="dxa"/>
            <w:tcBorders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Projektowany budynek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 xml:space="preserve">  </w:t>
            </w:r>
            <w:r>
              <w:rPr>
                <w:color w:val="auto"/>
              </w:rPr>
              <w:t>89,58 m</w:t>
            </w:r>
            <w:r>
              <w:rPr>
                <w:color w:val="auto"/>
                <w:vertAlign w:val="superscript"/>
              </w:rPr>
              <w:t>2</w:t>
            </w:r>
          </w:p>
        </w:tc>
      </w:tr>
      <w:tr>
        <w:trPr/>
        <w:tc>
          <w:tcPr>
            <w:tcW w:w="895" w:type="dxa"/>
            <w:tcBorders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Istniejąca wiata ogniskowa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 xml:space="preserve">  </w:t>
            </w:r>
            <w:r>
              <w:rPr>
                <w:color w:val="auto"/>
              </w:rPr>
              <w:t>24,97 m2</w:t>
            </w:r>
          </w:p>
        </w:tc>
      </w:tr>
      <w:tr>
        <w:trPr/>
        <w:tc>
          <w:tcPr>
            <w:tcW w:w="895" w:type="dxa"/>
            <w:tcBorders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</w:r>
          </w:p>
        </w:tc>
        <w:tc>
          <w:tcPr>
            <w:tcW w:w="52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Istniejąca wiata gospodarcza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 xml:space="preserve">  </w:t>
            </w:r>
            <w:r>
              <w:rPr>
                <w:color w:val="auto"/>
              </w:rPr>
              <w:t>13,12 m</w:t>
            </w:r>
            <w:r>
              <w:rPr>
                <w:color w:val="auto"/>
                <w:vertAlign w:val="superscript"/>
              </w:rPr>
              <w:t>2</w:t>
            </w:r>
          </w:p>
        </w:tc>
      </w:tr>
      <w:tr>
        <w:trPr/>
        <w:tc>
          <w:tcPr>
            <w:tcW w:w="61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powierzchnia utwardzeń – dróg, parkingów i chodników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154,64 m</w:t>
            </w:r>
            <w:r>
              <w:rPr>
                <w:color w:val="auto"/>
                <w:vertAlign w:val="superscript"/>
              </w:rPr>
              <w:t xml:space="preserve">2 </w:t>
            </w:r>
            <w:r>
              <w:rPr>
                <w:color w:val="auto"/>
              </w:rPr>
              <w:t>(19,99 %)</w:t>
            </w:r>
          </w:p>
        </w:tc>
      </w:tr>
      <w:tr>
        <w:trPr/>
        <w:tc>
          <w:tcPr>
            <w:tcW w:w="618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  <w:vAlign w:val="bottom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powierzchnia biologicznie czynna</w:t>
            </w:r>
          </w:p>
        </w:tc>
        <w:tc>
          <w:tcPr>
            <w:tcW w:w="23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FFFFFF" w:val="clear"/>
          </w:tcPr>
          <w:p>
            <w:pPr>
              <w:pStyle w:val="GPPTabelka"/>
              <w:spacing w:before="0" w:after="40"/>
              <w:rPr>
                <w:color w:val="auto"/>
              </w:rPr>
            </w:pPr>
            <w:r>
              <w:rPr>
                <w:color w:val="auto"/>
              </w:rPr>
              <w:t>491,11 m</w:t>
            </w:r>
            <w:r>
              <w:rPr>
                <w:color w:val="auto"/>
                <w:vertAlign w:val="superscript"/>
              </w:rPr>
              <w:t>2</w:t>
            </w:r>
            <w:r>
              <w:rPr>
                <w:color w:val="auto"/>
              </w:rPr>
              <w:t xml:space="preserve"> (63,50 %)</w:t>
            </w:r>
          </w:p>
        </w:tc>
      </w:tr>
    </w:tbl>
    <w:p>
      <w:pPr>
        <w:pStyle w:val="GPPPUNKT1"/>
        <w:numPr>
          <w:ilvl w:val="0"/>
          <w:numId w:val="3"/>
        </w:numPr>
        <w:rPr/>
      </w:pPr>
      <w:bookmarkStart w:id="79" w:name="__RefHeading___Toc6132_1558697229"/>
      <w:bookmarkStart w:id="80" w:name="_Toc185760973"/>
      <w:bookmarkEnd w:id="79"/>
      <w:r>
        <w:rPr/>
        <w:t>Informacje i dane</w:t>
      </w:r>
      <w:bookmarkEnd w:id="80"/>
      <w:r>
        <w:rPr/>
        <w:t xml:space="preserve">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81" w:name="__RefHeading___Toc6134_1558697229"/>
      <w:bookmarkEnd w:id="81"/>
      <w:r>
        <w:rPr/>
        <w:t xml:space="preserve"> </w:t>
      </w:r>
      <w:bookmarkStart w:id="82" w:name="_Toc185760974"/>
      <w:r>
        <w:rPr/>
        <w:t>Informacje i dane o rodzaju ograniczeń lub zakazów w zabudowie i zagospodarowaniu terenu wynikające z miejscowego planu zagospodarowania przestrzennego</w:t>
      </w:r>
      <w:bookmarkEnd w:id="82"/>
    </w:p>
    <w:p>
      <w:pPr>
        <w:pStyle w:val="GPPOPIS"/>
        <w:rPr/>
      </w:pPr>
      <w:r>
        <w:rPr/>
        <w:t xml:space="preserve">Na teren przeznaczony pod inwestycję obowiązuje miejscowy plan zagospodarowania przestrzennego </w:t>
      </w:r>
      <w:r>
        <w:rPr>
          <w:i/>
          <w:iCs/>
        </w:rPr>
        <w:t>Uchwała XLII/379/2021 z dnia 2021-10-18</w:t>
      </w:r>
      <w:r>
        <w:rPr/>
        <w:t>,</w:t>
      </w:r>
    </w:p>
    <w:tbl>
      <w:tblPr>
        <w:tblW w:w="8634" w:type="dxa"/>
        <w:jc w:val="left"/>
        <w:tblInd w:w="425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701"/>
        <w:gridCol w:w="428"/>
        <w:gridCol w:w="1133"/>
        <w:gridCol w:w="3544"/>
        <w:gridCol w:w="2828"/>
      </w:tblGrid>
      <w:tr>
        <w:trPr/>
        <w:tc>
          <w:tcPr>
            <w:tcW w:w="226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35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MPZP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E7E6E6" w:themeFill="background2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PB-1</w:t>
            </w:r>
          </w:p>
        </w:tc>
      </w:tr>
      <w:tr>
        <w:trPr/>
        <w:tc>
          <w:tcPr>
            <w:tcW w:w="8634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bookmarkStart w:id="83" w:name="_Hlk112941739"/>
            <w:bookmarkEnd w:id="83"/>
            <w:r>
              <w:rPr>
                <w:rFonts w:cs="Calibri" w:cstheme="minorHAnsi"/>
                <w:color w:val="auto"/>
                <w:sz w:val="20"/>
                <w:szCs w:val="20"/>
              </w:rPr>
              <w:t>Rozdział 2 Ustalenia dotyczące przeznaczenia terenu</w:t>
            </w:r>
          </w:p>
        </w:tc>
      </w:tr>
      <w:tr>
        <w:trPr>
          <w:trHeight w:val="751" w:hRule="atLeast"/>
        </w:trPr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5</w:t>
              <w:br/>
              <w:t>1)</w:t>
            </w:r>
          </w:p>
        </w:tc>
        <w:tc>
          <w:tcPr>
            <w:tcW w:w="79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W zakresie zasad ochrony i kształtowania ładu przestrzennego: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ustala się lokalizację budynków i wiat zgodnie z wyznaczonymi na rysunku planu obowiązującymi i nieprzekraczalnymi liniami zabudowy, przy czym: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okap, gzyms, balkon, daszek nad wejściem, taras, schody zewnętrzne, pochylnia lub rampa nie może przekroczyć wyznaczonej nieprzekraczalnej linii zabudowy w kierunku linii rozgraniczającej o więcej niż 1,5 m,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dopuszcza się nadbudowę i przebudowę istniejących budynków lub ich części położonych pomiędzy obowiązującymi i nieprzekraczalnymi liniami zabudowy a liniami rozgraniczającymi tereny o różnym przeznaczeniu lub różnych zasadach zagospodarowania wyznaczonymi na rysunku planu,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dopuszcza się rozbudowę istniejących budynków z zachowaniem ustaleń planu dotyczących obowiązujących i nieprzekraczalnych linii zabudowy,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Budynek zlokalizowano zgodnie z rysunkiem planu miejscowego w linii zabudowy. Linia okapu oraz rampy w obrębie wejścia nie przekracza wyznaczonej nieprzekraczalnej linii zabudowy o więcej niż 1,5m.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przypadku rozbudowy istniejących budynków dopuszcza się odsunięcie nowoprojektowanych części od obowiązujących linii zabudowy,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dopuszcza się odsunięcie projektowanych budynków garażowo-gospodarczych od obowiązujących linii zabudowy w głąb działki,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dopuszcza się lokalizację urządzeń infrastruktury technicznej przed wyznaczonymi liniami zabudowy, wyłącznie przy zachowaniu odległości określonych dla lokalizacji obiektów budowlanych od zewnętrznej krawędzi jezdni wynikających z przepisów odrębnych oraz w sposób nieograniczający widoczności i czytelności oznakowania dla uczestników ruchu drogowego, z zastrzeżeniem § 8 pkt 1 lit.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przewiduje się rozbudowy istniejących budynków.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Żaden z projektowanych elementów zagospodarowania nie ogranicza widoczności i czytelności oznakowania dla uczestników ruchu drogowego.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2)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dopuszcza się lokalizację budynków w odległości 1,5 m od granicy z działkami sąsiednimi lub bezpośrednio przy tej granicy zgodnie z przepisami odrębnymi;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3)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zakazuje się sytuowania tymczasowych obiektów budowlanych na terenach oznaczonych symbolami MN, MW, MN/U i U, z wyjątkiem lokalizacji obiektów tymczasowych wyłącznie na czas trwania budowy, przy zachowaniu odległości określonych dla lokalizacji obiektów budowlanych od zewnętrznej krawędzi jezdni wynikających z przepisów odrębnych, z zastrzeżeniem § 8 pkt 1 lit. e.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6.</w:t>
            </w:r>
          </w:p>
        </w:tc>
        <w:tc>
          <w:tcPr>
            <w:tcW w:w="79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zasad ochrony środowiska, przyrody i krajobrazu ustala się: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1)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zakaz lokalizowania przedsięwzięć mogących zawsze lub potencjalnie znacząco oddziaływać na środowisko określonych w przepisach odrębnych na terenach oznaczonych symbolami MN, MN*, MW, MN/U, UO, UK, UT, UT*, US, z wyjątkiem inwestycji celu publicznego;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2)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zakaz lokalizowania przedsięwzięć mogących zawsze znacząco oddziaływać na środowisko określonych w przepisach odrębnych na terenach oznaczonych symbolami RM, RM*, U, z wyjątkiem inwestycji celu publicznego;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Planowany obiekt nie stanowi przedsięwzięcia mogącego zawsze lub potencjalnie znacząco oddziaływać na środowisko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3)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ochrony gruntów i wód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  <w:t>a) zakaz magazynowania materiałów mogących powodować zanieczyszczenie środowiska w miejscach nieizolowanych od powierzchni terenu,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  <w:t>b) nakaz podczyszczania, odtłuszczania, neutralizowania ścieków przemysłowych wytwarzanych w procesie produkcyjnym przed odprowadzeniem tych ścieków do systemu oczyszczania, z dopuszczeniem tymczasowego gromadzenia ścieków w szczelnych zbiornikach bezodpływowych, zgodnie z przepisami odrębnymi,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  <w:t>c) nakaz wykonania zabezpieczenia przed przenikaniem ścieków i innych zanieczyszczeń do gruntu i wód zgodnie z przepisami odrębnymi,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  <w:t>d) nakaz uwzględnienia budowy i przebudowy urządzeń melioracji wodnych w trakcie prowadzenia prac związanych z zagospodarowaniem terenów,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  <w:t>e) nakaz zapewnienia dostępu do rowów melioracyjnych zgodnie z przepisami odrębnymi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themeColor="text1" w:val="000000"/>
                <w:sz w:val="20"/>
                <w:szCs w:val="20"/>
              </w:rPr>
            </w:pPr>
            <w:r>
              <w:rPr>
                <w:rFonts w:cs="Calibri" w:cstheme="minorHAnsi"/>
                <w:color w:themeColor="text1" w:val="000000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4)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ochrony powietrza atmosferycznego – stosowanie ograniczeń lub zakazów w zakresie eksploatacji instalacji, w których następuje spalanie paliw dla celów grzewczych zgodnie z przepisami odrębnymi;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5)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ochrony przed hałasem: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ind w:left="32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 nakaz zachowania dopuszczalnych poziomów hałasu określonych w przepisach odrębnych, z zastrzeżeniem § 12 pkt 7, na terenach oznaczonych symbolami</w:t>
            </w:r>
          </w:p>
          <w:p>
            <w:pPr>
              <w:pStyle w:val="GPPTabelka"/>
              <w:spacing w:before="0" w:after="40"/>
              <w:ind w:left="32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b) nakaz ograniczania emisji hałasu z poszczególnych terenów objętych planem w sposób zapewniający zachowanie akustycznych standardów jakości środowiska na terenach podlegających ochronie akustycznej zlokalizowanych w sąsiedztwie;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Zachowano dopuszczalne poziomy hałasu określone w przepisach odrębnych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6)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gospodarowania odpadami – nakaz gromadzenia i zagospodarowania odpadów zgodnie z regulaminem utrzymania czystości i porządku w gminie oraz przepisami odrębnymi;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Na terenie inwestycji zaprojektowano miejsce gromadzenia odpadów z możliwością ich segregacji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7)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ochrony przed oddziaływaniem pól elektromagnetycznych i promieniowania niejonizującego: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 zakaz lokalizacji budynków mieszkalnych i innych przeznaczonych na stały pobyt ludzi oraz nasadzeń zieleni wysokiej na obszarach pasa technologicznego napowietrznej linii elektroenergetycznej najwyższych napięć oraz pasów technicznych napowietrznych linii elektroenergetycznych wysokiego i średniego napięcia,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b) nakaz uwzględnienia wymagań wynikających z przepisów odrębnych dotyczących zachowania dopuszczalnych poziomów pól elektromagnetycznych,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c) w przypadku skablowania linii elektroenergetycznych nie obowiązują ustalenia zawarte w pkt a).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  <w:vAlign w:val="cente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7.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 xml:space="preserve"> </w:t>
            </w:r>
            <w:r>
              <w:rPr>
                <w:rFonts w:cs="Calibri" w:cstheme="minorHAnsi"/>
                <w:bCs/>
                <w:color w:val="auto"/>
                <w:sz w:val="20"/>
                <w:szCs w:val="20"/>
              </w:rPr>
              <w:t>W zakresie zasad kształtowania krajobrazu ustala się nakaz kształtowania zabudowy i zagospodarowania terenu zgodnie z ustaleniami niniejszej uchwały.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Cs/>
                <w:color w:val="auto"/>
                <w:sz w:val="20"/>
                <w:szCs w:val="20"/>
              </w:rPr>
              <w:t>Zabudowę i zagospodarowanie zaprojektowano zgodnie z ustaleniami niniejszej uchwały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8.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zasad ochrony dziedzictwa kulturowego i zabytków, w tym krajobrazów kulturowych, oraz dóbr kultury współczesnej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9.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wymagań wynikających z potrzeby kształtowania przestrzeni publicznych ustala się obszary przestrzeni publicznej, w którym obowiązują zasady kształtowania zabudowy oraz wskaźniki zagospodarowania terenów zgodnie z ustaleniami niniejszej uchwały.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10.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granic i sposobów zagospodarowania terenów lub obiektów podlegających ochronie na podstawie przepisów odrębnych, terenów górniczych, obszarów szczególnego zagrożenia powodzią, obszarów osuwania się mas ziemnych, krajobrazów priorytetowych określonych w audycie krajobrazowym oraz planach zagospodarowania przestrzennego województwa, ustala się: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1) nakaz uwzględnienia ograniczeń określonych w przepisach odrębnych, wynikających z położenia terenów objętych planem, zgodnie z oznaczeniami na rysunkach planu, w granicach: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 Powidzkiego Parku Krajobrazowego,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b) Powidzko-Bieniszewskiego Obszaru Chronionego Krajobrazu,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c) Obszaru Natura 2000 „Pojezierze Gnieźnieńskie” PLH300026,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d) Głównego Zbiornika Wód Podziemnych nr 143,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e) Głównego Zbiornika Wód Podziemnych nr 144,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f) terenu górniczego „Pątnów”,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g) udokumentowanego złoża węgla brunatnego „Pątnów III – soczewka Danków” (nr złoża WB 438),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h) udokumentowanych złóż kruszywa naturalnego „Przecław” (nr złoża KN 11749),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i) udokumentowanych złóż kruszywa naturalnego „Przecław I” (nr złoża KN 16012);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2) nakaz ochrony istniejących pomników przyrody zgodnie z przepisami odrębnymi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dotyczy. Projekt nie obejmuje działań mogących negatywnie oddziaływać na obszary chronione, w tym obszar parku krajobrazowego oraz obszar Natura 2000. W projekcie uwzględniono wszelkie ograniczenia związane z jego położeniem w sąsiedztwie wymienionych terenów.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obrębie opracowanie nie występują pomniki przyrody.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11.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szczegółowych zasad i warunków scalania i podziału nieruchomości objętych planem: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12.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szczególnych warunków zagospodarowania terenu oraz ograniczeń w ich użytkowaniu, w tym zakazu zabudowy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13.</w:t>
            </w:r>
          </w:p>
        </w:tc>
        <w:tc>
          <w:tcPr>
            <w:tcW w:w="79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zasad modernizacji, rozbudowy i budowy systemów komunikacji i infrastruktury technicznej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j) minimalną liczbę miejsc do parkowania zlokalizowanych w obrębie działki budowlanej: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- 2 miejsca postojowe na każde 100 m² powierzchni użytkowej budynku usługowego,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Zaprojektowano dwa miejsca postojowe, w tym jedno miejsce postojowe dla osoby niepełnosprawnej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b/>
                <w:bCs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l) nakaz wyznaczenia odpowiedniej liczby miejsc do parkowania dla pojazdów zaopatrzonych w kartę parkingową zgodnie z przepisami odrębnymi;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Zaprojektowano dwa miejsca postojowe, w tym jedno miejsce postojowe dla osoby niepełnosprawnej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2)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zaopatrzenia w wodę: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a) zaopatrzenie w wodę z sieci wodociągowej,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b) dopuszczenie zaopatrzenia w wodę z ujęć indywidualnych do czasu budowy sieci wodociągowej,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c) zachowanie istniejącej sieci wodociągowej, z możliwością jej przebudowy oraz rozbudowy;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Zapewniono wodę z sieci wodociągowej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3)</w:t>
            </w:r>
          </w:p>
        </w:tc>
        <w:tc>
          <w:tcPr>
            <w:tcW w:w="79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odprowadzenia ścieków: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 docelowe odprowadzenie ścieków do kanalizacji sanitarnej zgodnie z przepisami odrębnymi,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b) do czasu budowy kanalizacji sanitarnej dopuszczenie stosowania szczelnych zbiorników bezodpływowych zgodnie z przepisami odrębnymi,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c) na obszarach nieobjętych kanalizacją sanitarną dopuszczenie odprowadzania ścieków bytowych do indywidualnych oczyszczalni ścieków przy spełnieniu wymagań określonych w przepisach odrębnych;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Odprowadzenie ścieków do zbiornika bezodpływowego na terenie inwestycji.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4)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w zakresie odprowadzenia wód opadowych i roztopowych – zagospodarowanie wód opadowych i roztopowych na własnym terenie lub ich odprowadzanie do kanalizacji deszczowej, dołów chłonnych lub do zbiorników retencyjnych zgodnie z przepisami odrębnymi;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Wody opadowe i roztopowe planuje się zagospodarować na własnym terenie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5)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w zakresie zaopatrzenia w gaz: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a) docelowe podłączenie terenów objętych planem do sieci gazowej,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b) dopuszczenie lokalizacji stacji gazowych z zapewnieniem dostępu do dróg publicznych;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 – w sąsiedztwie opracowania obecnie brak jest możliwości przyłączenia do sieci gazowej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6)</w:t>
            </w:r>
          </w:p>
        </w:tc>
        <w:tc>
          <w:tcPr>
            <w:tcW w:w="79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zaopatrzenia w energię elektryczną: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cstheme="minorHAnsi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 zaopatrzenie w energię elektryczną z istniejącej sieci elektroenergetycznej,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b) dopuszczenie zachowania istniejącej sieci elektroenergetycznej, z możliwością jej przebudowy, rozbudowy lub rozbiórki oraz budowy po nowej trasie lub skablowania,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c) dopuszczenie lokalizacji stacji transformatorowych z zapewnieniem dostępu do dróg publicznych;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Zaopatrzenie z istniejącej sieci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8)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ochrony przeciwpożarowej:</w:t>
            </w:r>
          </w:p>
          <w:p>
            <w:pPr>
              <w:pStyle w:val="GPPTabelka"/>
              <w:numPr>
                <w:ilvl w:val="0"/>
                <w:numId w:val="7"/>
              </w:numPr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nakaz zapewnienia wody dla celów przeciwpożarowych,</w:t>
            </w:r>
          </w:p>
          <w:p>
            <w:pPr>
              <w:pStyle w:val="GPPTabelka"/>
              <w:numPr>
                <w:ilvl w:val="0"/>
                <w:numId w:val="7"/>
              </w:numPr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nakaz uwzględnienia dróg przeciwpożarowych podczas realizacji inwestycji.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Zgodnie z § 3. 2. Oraz 3. Rozporządzenia Ministra Spraw Wewnętrznych i Administracji z dnia 24 lipca 2009r. w sprawie przeciwpożarowego zaopatrzenia w wodę oraz dróg pożarowych woda do zewnętrznego gaszenia pożaru jest zapewniona w ramach ilości wody przewidywanych dla jednostki osadniczej w ilości co najmniej 5 dm3/s.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Zgodnie z rozporządzeniem nie ma konieczności zapewnienia drogi pożarowej do projektowanego budynku, dostęp jednak jest zapewniony dla dłuższej elewacji budynku bezpośrednio z drogi publicznej.</w:t>
            </w:r>
          </w:p>
        </w:tc>
      </w:tr>
      <w:tr>
        <w:trPr/>
        <w:tc>
          <w:tcPr>
            <w:tcW w:w="112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Rozdział 2.</w:t>
            </w:r>
          </w:p>
        </w:tc>
        <w:tc>
          <w:tcPr>
            <w:tcW w:w="75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Przepisy szczegółowe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b/>
                <w:bCs/>
                <w:color w:val="auto"/>
                <w:sz w:val="20"/>
                <w:szCs w:val="20"/>
              </w:rPr>
              <w:t>§ 23.</w:t>
            </w:r>
          </w:p>
        </w:tc>
        <w:tc>
          <w:tcPr>
            <w:tcW w:w="793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W zakresie zasad kształtowania zabudowy oraz wskaźników zagospodarowania terenu, na terenach oznaczonych symbolami U: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1)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dopuszcza się lokalizację, z zastrzeżeniem § 8 pkt 1 lit. e oraz § 12 pkt 1-8: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a) budynków usługowych,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b) sieci i urządzeń infrastruktury technicznej,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c) dojść, dojazdów i miejsc postojowych;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Planuje się budowę wiejskiego centrum kultury. Budynek kwalifikuje się jako budynek usługowy w zakresie usług społecznych. Na działce planuje się budowę dojazdów, dojść i miejsc postojowych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2)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dopuszcza się zachowanie istniejącej zabudowy z możliwością jej przebudowy, rozbudowy, nadbudowy przy zastosowaniu parametrów określonych w niniejszym paragrafie;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Planuje się rozbiórkę części istniejącej zabudowy oraz zachowanie wiat nie kolidujących z inwestycją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3)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tabs>
                <w:tab w:val="clear" w:pos="708"/>
                <w:tab w:val="left" w:pos="1140" w:leader="none"/>
              </w:tabs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ustala się wskaźniki zagospodarowania terenu: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a) intensywność zabudowy: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- maksymalna – 2,40,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- minimalna – 0,00,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b) maksymalna powierzchnia zabudowy w odniesieniu do powierzchni działki budowlanej – 60%,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c) minimalny udział procentowy powierzchni biologicznie czynnej w odniesieniu do powierzchni działki budowlanej – 10%;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Intensywność zabudowy wynosi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0,17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Powierzchnia zabudowy wynosi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16,51 %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Powierzchnia biologicznie czynna wynosi 63,50%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ustala się zasady kształtowania zabudowy: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a) maksymalna wysokość – nie więcej niż 12,0 m,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b) maksymalna liczba kondygnacji – trzy kondygnacje nadziemne,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c) dopuszcza się podpiwniczenie budynków, przy czym poziom parteru należy sytuować na wysokości nieprzekraczającej 1,0 m nad poziomem terenu,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d) geometria głównych połaci dachowych – dachy płaskie lub strome dwu- lub wielospadowe o nachyleniu 12° – 45°,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e) pokrycie dachów stromych – dachówka, materiały imitujące dachówkę lub blacha na rąbek stojący,</w:t>
            </w:r>
          </w:p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f) w przypadku przebudowy i rozbudowy istniejącej zabudowy dopuszcza się zachowanie istniejącej formy i pokrycia dachu;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a) wysokość zabudowy: 5,65 m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b) liczba kondygnacji:  1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c) nie projektuje się  podpiwniczenia budynku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d) projektuje się dach dwuspadowy o kącie nachylenia 30°</w:t>
            </w:r>
          </w:p>
          <w:p>
            <w:pPr>
              <w:pStyle w:val="GPPTabelka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e) pokrycie dachu blachą na rąbek stojący</w:t>
            </w:r>
          </w:p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f) nie dotyczy</w:t>
            </w:r>
          </w:p>
        </w:tc>
      </w:tr>
      <w:tr>
        <w:trPr/>
        <w:tc>
          <w:tcPr>
            <w:tcW w:w="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5)</w:t>
            </w:r>
          </w:p>
        </w:tc>
        <w:tc>
          <w:tcPr>
            <w:tcW w:w="510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Normal"/>
              <w:spacing w:before="0" w:after="0"/>
              <w:ind w:left="0"/>
              <w:rPr>
                <w:rFonts w:ascii="Calibri" w:hAnsi="Calibri" w:cs="Calibri" w:asciiTheme="minorHAnsi" w:cstheme="minorHAnsi" w:hAnsiTheme="minorHAnsi"/>
                <w:sz w:val="20"/>
                <w:szCs w:val="20"/>
              </w:rPr>
            </w:pPr>
            <w:r>
              <w:rPr>
                <w:rFonts w:cs="Calibri" w:ascii="Calibri" w:hAnsi="Calibri" w:asciiTheme="minorHAnsi" w:cstheme="minorHAnsi" w:hAnsiTheme="minorHAnsi"/>
                <w:sz w:val="20"/>
                <w:szCs w:val="20"/>
              </w:rPr>
              <w:t>ustala się parametry działek uzyskanych w wyniku scalania i podziału nieruchomości</w:t>
            </w:r>
          </w:p>
        </w:tc>
        <w:tc>
          <w:tcPr>
            <w:tcW w:w="282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color="auto" w:fill="auto" w:val="clear"/>
          </w:tcPr>
          <w:p>
            <w:pPr>
              <w:pStyle w:val="GPPTabelka"/>
              <w:spacing w:before="0" w:after="40"/>
              <w:rPr>
                <w:rFonts w:ascii="Calibri" w:hAnsi="Calibri" w:cs="Calibri" w:asciiTheme="minorHAnsi" w:cstheme="minorHAnsi" w:hAnsiTheme="minorHAnsi"/>
                <w:color w:val="auto"/>
                <w:sz w:val="20"/>
                <w:szCs w:val="20"/>
              </w:rPr>
            </w:pPr>
            <w:r>
              <w:rPr>
                <w:rFonts w:cs="Calibri" w:cstheme="minorHAnsi"/>
                <w:color w:val="auto"/>
                <w:sz w:val="20"/>
                <w:szCs w:val="20"/>
              </w:rPr>
              <w:t>Nie dotyczy</w:t>
            </w:r>
          </w:p>
        </w:tc>
      </w:tr>
    </w:tbl>
    <w:p>
      <w:pPr>
        <w:pStyle w:val="GPPPUNKT11"/>
        <w:numPr>
          <w:ilvl w:val="1"/>
          <w:numId w:val="3"/>
        </w:numPr>
        <w:ind w:hanging="360" w:left="720"/>
        <w:rPr/>
      </w:pPr>
      <w:bookmarkStart w:id="84" w:name="__RefHeading___Toc354484845"/>
      <w:bookmarkStart w:id="85" w:name="_Toc185760975"/>
      <w:bookmarkStart w:id="86" w:name="_Toc52561105"/>
      <w:bookmarkStart w:id="87" w:name="_Toc395235925"/>
      <w:bookmarkStart w:id="88" w:name="_Hlk112941739_kopia_1"/>
      <w:bookmarkStart w:id="89" w:name="_Toc23879243"/>
      <w:bookmarkStart w:id="90" w:name="_Toc23879020"/>
      <w:bookmarkStart w:id="91" w:name="_Toc23878797"/>
      <w:bookmarkStart w:id="92" w:name="_Toc23787872"/>
      <w:bookmarkStart w:id="93" w:name="_Toc23783278"/>
      <w:bookmarkStart w:id="94" w:name="_Toc23782929"/>
      <w:bookmarkEnd w:id="84"/>
      <w:bookmarkEnd w:id="88"/>
      <w:bookmarkEnd w:id="89"/>
      <w:bookmarkEnd w:id="90"/>
      <w:bookmarkEnd w:id="91"/>
      <w:bookmarkEnd w:id="92"/>
      <w:bookmarkEnd w:id="93"/>
      <w:bookmarkEnd w:id="94"/>
      <w:r>
        <w:rPr/>
        <w:t>Ochrona konserwatorska</w:t>
      </w:r>
      <w:bookmarkEnd w:id="87"/>
      <w:r>
        <w:rPr/>
        <w:t>, rejestr i ewidencja zabytków</w:t>
      </w:r>
      <w:bookmarkEnd w:id="85"/>
      <w:bookmarkEnd w:id="86"/>
    </w:p>
    <w:p>
      <w:pPr>
        <w:pStyle w:val="GPPOPIS"/>
        <w:rPr/>
      </w:pPr>
      <w:bookmarkStart w:id="95" w:name="__RefHeading___Toc354484851"/>
      <w:bookmarkEnd w:id="95"/>
      <w:r>
        <w:rPr/>
        <w:t xml:space="preserve">Działka położona jest poza ochroną konserwatorską.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96" w:name="__RefHeading___Toc6136_1558697229"/>
      <w:bookmarkStart w:id="97" w:name="_Toc395235926"/>
      <w:bookmarkStart w:id="98" w:name="_Toc185760976"/>
      <w:bookmarkStart w:id="99" w:name="_Toc52561106"/>
      <w:bookmarkEnd w:id="96"/>
      <w:r>
        <w:rPr/>
        <w:t>Wpływ eksploatacji górniczej</w:t>
      </w:r>
      <w:bookmarkEnd w:id="97"/>
      <w:bookmarkEnd w:id="98"/>
      <w:bookmarkEnd w:id="99"/>
    </w:p>
    <w:p>
      <w:pPr>
        <w:pStyle w:val="GPPOPIS"/>
        <w:rPr/>
      </w:pPr>
      <w:r>
        <w:rPr/>
        <w:t xml:space="preserve">Działka nie znajduje się pod wpływem eksploatacji górniczej.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00" w:name="__RefHeading___Toc354484849"/>
      <w:bookmarkStart w:id="101" w:name="_Toc185760977"/>
      <w:bookmarkStart w:id="102" w:name="_Toc52561107"/>
      <w:bookmarkStart w:id="103" w:name="_Toc395235924"/>
      <w:bookmarkEnd w:id="100"/>
      <w:r>
        <w:rPr/>
        <w:t>Ochrona środowiska</w:t>
      </w:r>
      <w:bookmarkEnd w:id="102"/>
      <w:bookmarkEnd w:id="103"/>
      <w:r>
        <w:rPr/>
        <w:t xml:space="preserve"> oraz higieny i zdrowia użytkowników projektowanych obiektów budowlanych i ich otoczenia w zakresie zgodnym z przepisami odrębnymi</w:t>
      </w:r>
      <w:bookmarkEnd w:id="101"/>
    </w:p>
    <w:p>
      <w:pPr>
        <w:pStyle w:val="GPPOPIS"/>
        <w:jc w:val="both"/>
        <w:rPr/>
      </w:pPr>
      <w:r>
        <w:rPr/>
        <w:t xml:space="preserve">Projektowany budynek nie przekracza oddziaływaniem (uciążliwościami) granicy własności ani nie stanowi zagrożenia dla środowiska oraz higieny i zdrowia użytkowników. Planowana inwestycja nie występuje w katalogu przedsięwzięć mogących oddziaływać na środowisko zgodnie z rozporządzeniem Rady Ministrów z dnia 10 września 2019 w sprawie przedsięwzięć mogących znacząco oddziaływać na środowisko. </w:t>
      </w:r>
      <w:bookmarkStart w:id="104" w:name="_Toc395235927"/>
      <w:bookmarkStart w:id="105" w:name="_Toc52561111"/>
    </w:p>
    <w:p>
      <w:pPr>
        <w:pStyle w:val="GPPPUNKT1"/>
        <w:numPr>
          <w:ilvl w:val="0"/>
          <w:numId w:val="3"/>
        </w:numPr>
        <w:ind w:hanging="425" w:left="567"/>
        <w:rPr/>
      </w:pPr>
      <w:bookmarkStart w:id="106" w:name="__RefHeading___Toc6138_1558697229"/>
      <w:bookmarkStart w:id="107" w:name="_Toc185760978"/>
      <w:bookmarkEnd w:id="106"/>
      <w:r>
        <w:rPr/>
        <w:t>Dane dotyczące warunków ochrony przeciwpożarowej, w szczególności o drogach pożarowych oraz przeciwpożarowym zaopatrzeniu w wodę</w:t>
      </w:r>
      <w:bookmarkEnd w:id="107"/>
    </w:p>
    <w:p>
      <w:pPr>
        <w:pStyle w:val="GPPOPIS"/>
        <w:rPr/>
      </w:pPr>
      <w:bookmarkStart w:id="108" w:name="_Toc52561168"/>
      <w:bookmarkStart w:id="109" w:name="_Toc17126220"/>
      <w:bookmarkStart w:id="110" w:name="_Toc418584546"/>
      <w:bookmarkStart w:id="111" w:name="_Toc380960035"/>
      <w:bookmarkStart w:id="112" w:name="_Toc340128570"/>
      <w:bookmarkStart w:id="113" w:name="_Toc340127461"/>
      <w:bookmarkStart w:id="114" w:name="_Toc340127255"/>
      <w:bookmarkStart w:id="115" w:name="_Toc313885052"/>
      <w:r>
        <w:rPr/>
        <w:t>Podstawy prawne</w:t>
      </w:r>
      <w:bookmarkEnd w:id="110"/>
      <w:bookmarkEnd w:id="111"/>
      <w:bookmarkEnd w:id="112"/>
      <w:bookmarkEnd w:id="113"/>
      <w:bookmarkEnd w:id="114"/>
      <w:bookmarkEnd w:id="115"/>
      <w:r>
        <w:rPr/>
        <w:t xml:space="preserve"> i powołane normy</w:t>
      </w:r>
      <w:bookmarkEnd w:id="108"/>
      <w:bookmarkEnd w:id="109"/>
    </w:p>
    <w:p>
      <w:pPr>
        <w:pStyle w:val="GPPkropka"/>
        <w:numPr>
          <w:ilvl w:val="0"/>
          <w:numId w:val="5"/>
        </w:numPr>
        <w:rPr/>
      </w:pPr>
      <w:r>
        <w:rPr/>
        <w:t>Rozporządzenie Ministra Infrastruktury z dnia 12 kwietnia 2002 r. w sprawie warunków technicznych, jakim powinny odpowiadać budynki i ich usytuowanie (Dz. U. Nr 75, poz. 690 ze zm.)</w:t>
      </w:r>
    </w:p>
    <w:p>
      <w:pPr>
        <w:pStyle w:val="GPPkropka"/>
        <w:numPr>
          <w:ilvl w:val="0"/>
          <w:numId w:val="5"/>
        </w:numPr>
        <w:jc w:val="both"/>
        <w:rPr/>
      </w:pPr>
      <w:r>
        <w:rPr/>
        <w:t>Rozporządzenie Ministra Spraw Wewnętrznych i Administracji z dnia 5 sierpnia 2023 r. w sprawie uzgadniania projektu zagospodarowania działki lub terenu, projektu architektoniczno-budowlanego, projektu technicznego oraz projektu urządzenia przeciwpożarowego pod względem zgodności z wymaganiami ochrony przeciwpożarowej (Dz. U. 2023, poz. 1563)</w:t>
      </w:r>
    </w:p>
    <w:p>
      <w:pPr>
        <w:pStyle w:val="GPPkropka"/>
        <w:numPr>
          <w:ilvl w:val="0"/>
          <w:numId w:val="5"/>
        </w:numPr>
        <w:jc w:val="both"/>
        <w:rPr/>
      </w:pPr>
      <w:r>
        <w:rPr/>
        <w:t>Rozporządzenie Ministra Spraw Wewnętrznych i Administracji z dnia 24 lipca 2009 r. w sprawie przeciwpożarowego zaopatrzenia w wodę oraz dróg pożarowych (Dz. U. Nr 124, poz. 1030)</w:t>
      </w:r>
    </w:p>
    <w:p>
      <w:pPr>
        <w:pStyle w:val="GPPkropka"/>
        <w:numPr>
          <w:ilvl w:val="0"/>
          <w:numId w:val="5"/>
        </w:numPr>
        <w:jc w:val="both"/>
        <w:rPr/>
      </w:pPr>
      <w:r>
        <w:rPr/>
        <w:t>Rozporządzenie Ministra Spraw Wewnętrznych i Administracji z 7 czerwca 2010 r. w sprawie ochrony przeciwpożarowej budynków, innych obiektów budowlanych i terenów (Dz. U. Nr 109 poz. 719)</w:t>
      </w:r>
    </w:p>
    <w:p>
      <w:pPr>
        <w:pStyle w:val="GPPkropka"/>
        <w:numPr>
          <w:ilvl w:val="0"/>
          <w:numId w:val="5"/>
        </w:numPr>
        <w:jc w:val="both"/>
        <w:rPr/>
      </w:pPr>
      <w:r>
        <w:rPr/>
        <w:t>Rozporządzenie Ministra Spraw Wewnętrznych i Administracji z dnia 20 czerwca 2007 r. w sprawie wykazu wyrobów służących zapewnieniu bezpieczeństwa publicznego lub ochronie zdrowia i życia oraz mienia, a także zasad wydawania dopuszczenia tych wyrobów do użytkowania (Dz. U. Nr 143, poz. 1002 ze zm.)</w:t>
      </w:r>
    </w:p>
    <w:p>
      <w:pPr>
        <w:pStyle w:val="GPPPUNKT11"/>
        <w:numPr>
          <w:ilvl w:val="1"/>
          <w:numId w:val="3"/>
        </w:numPr>
        <w:ind w:hanging="360" w:left="720"/>
        <w:jc w:val="both"/>
        <w:rPr/>
      </w:pPr>
      <w:bookmarkStart w:id="116" w:name="__RefHeading___Toc6140_1558697229"/>
      <w:bookmarkStart w:id="117" w:name="_Toc185760979"/>
      <w:bookmarkStart w:id="118" w:name="_Toc52561169"/>
      <w:bookmarkStart w:id="119" w:name="_Toc17126221"/>
      <w:bookmarkStart w:id="120" w:name="_Toc418584547"/>
      <w:bookmarkStart w:id="121" w:name="_Toc380960036"/>
      <w:bookmarkStart w:id="122" w:name="_Toc340128571"/>
      <w:bookmarkStart w:id="123" w:name="_Toc340127462"/>
      <w:bookmarkStart w:id="124" w:name="_Toc340127256"/>
      <w:bookmarkStart w:id="125" w:name="_Toc313885053"/>
      <w:bookmarkEnd w:id="116"/>
      <w:r>
        <w:rPr/>
        <w:t>Opis zamierzenia</w:t>
      </w:r>
      <w:bookmarkEnd w:id="117"/>
      <w:bookmarkEnd w:id="118"/>
      <w:bookmarkEnd w:id="119"/>
      <w:bookmarkEnd w:id="120"/>
      <w:bookmarkEnd w:id="121"/>
      <w:bookmarkEnd w:id="122"/>
      <w:bookmarkEnd w:id="123"/>
      <w:bookmarkEnd w:id="124"/>
      <w:bookmarkEnd w:id="125"/>
      <w:r>
        <w:rPr/>
        <w:t xml:space="preserve"> </w:t>
      </w:r>
    </w:p>
    <w:p>
      <w:pPr>
        <w:pStyle w:val="GPPOPIS"/>
        <w:jc w:val="both"/>
        <w:rPr/>
      </w:pPr>
      <w:r>
        <w:rPr/>
        <w:t>Planuje się budowę budynku wiejskiego centrum kultury wraz z infrastrukturą towarzyszącą.</w:t>
      </w:r>
    </w:p>
    <w:p>
      <w:pPr>
        <w:pStyle w:val="GPPPUNKT11"/>
        <w:numPr>
          <w:ilvl w:val="1"/>
          <w:numId w:val="3"/>
        </w:numPr>
        <w:ind w:hanging="360" w:left="720"/>
        <w:jc w:val="both"/>
        <w:rPr/>
      </w:pPr>
      <w:bookmarkStart w:id="126" w:name="__RefHeading___Toc6142_1558697229"/>
      <w:bookmarkStart w:id="127" w:name="_Toc185760980"/>
      <w:bookmarkStart w:id="128" w:name="_Toc52561170"/>
      <w:bookmarkStart w:id="129" w:name="_Toc17126223"/>
      <w:bookmarkStart w:id="130" w:name="_Toc418584549"/>
      <w:bookmarkStart w:id="131" w:name="_Toc380960038"/>
      <w:bookmarkStart w:id="132" w:name="_Toc340128573"/>
      <w:bookmarkStart w:id="133" w:name="_Toc340127464"/>
      <w:bookmarkStart w:id="134" w:name="_Toc340127258"/>
      <w:bookmarkStart w:id="135" w:name="_Toc313885055"/>
      <w:bookmarkEnd w:id="126"/>
      <w:r>
        <w:rPr/>
        <w:t>Odległość od obiektów sąsiadujących</w:t>
      </w:r>
      <w:bookmarkEnd w:id="127"/>
      <w:bookmarkEnd w:id="128"/>
      <w:bookmarkEnd w:id="129"/>
      <w:bookmarkEnd w:id="130"/>
      <w:bookmarkEnd w:id="131"/>
      <w:bookmarkEnd w:id="132"/>
      <w:bookmarkEnd w:id="133"/>
      <w:bookmarkEnd w:id="134"/>
      <w:bookmarkEnd w:id="135"/>
    </w:p>
    <w:p>
      <w:pPr>
        <w:pStyle w:val="GPPpodkreslowny"/>
        <w:jc w:val="both"/>
        <w:rPr/>
      </w:pPr>
      <w:r>
        <w:rPr/>
        <w:t>Projektowane minimalne odległości obiektu względem granic terenu</w:t>
      </w:r>
    </w:p>
    <w:tbl>
      <w:tblPr>
        <w:tblpPr w:vertAnchor="text" w:horzAnchor="text" w:leftFromText="141" w:rightFromText="141" w:tblpX="0" w:tblpY="1"/>
        <w:tblOverlap w:val="never"/>
        <w:tblW w:w="7479" w:type="dxa"/>
        <w:jc w:val="left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  <w:tblLook w:firstRow="1" w:noVBand="1" w:lastRow="0" w:firstColumn="1" w:lastColumn="0" w:noHBand="0" w:val="04a0"/>
      </w:tblPr>
      <w:tblGrid>
        <w:gridCol w:w="2376"/>
        <w:gridCol w:w="2694"/>
        <w:gridCol w:w="2409"/>
      </w:tblGrid>
      <w:tr>
        <w:trPr>
          <w:trHeight w:val="481" w:hRule="atLeast"/>
        </w:trPr>
        <w:tc>
          <w:tcPr>
            <w:tcW w:w="2376" w:type="dxa"/>
            <w:tcBorders>
              <w:bottom w:val="single" w:sz="4" w:space="0" w:color="000000"/>
              <w:right w:val="single" w:sz="4" w:space="0" w:color="000000"/>
            </w:tcBorders>
            <w:shd w:color="auto" w:fill="FFFFFF" w:themeFill="background1" w:val="clear"/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</w:r>
          </w:p>
        </w:tc>
        <w:tc>
          <w:tcPr>
            <w:tcW w:w="2694" w:type="dxa"/>
            <w:tcBorders>
              <w:top w:val="single" w:sz="6" w:space="0" w:color="000000"/>
              <w:left w:val="single" w:sz="4" w:space="0" w:color="000000"/>
              <w:bottom w:val="single" w:sz="6" w:space="0" w:color="000000"/>
              <w:right w:val="single" w:sz="6" w:space="0" w:color="000000"/>
            </w:tcBorders>
            <w:shd w:color="auto" w:fill="EDEDED" w:themeFill="accent3" w:themeFillTint="33" w:val="clear"/>
            <w:vAlign w:val="center"/>
          </w:tcPr>
          <w:p>
            <w:pPr>
              <w:pStyle w:val="GPPTabelka"/>
              <w:spacing w:lineRule="auto" w:line="257" w:before="0" w:after="40"/>
              <w:jc w:val="center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Granica działki budowlanej</w:t>
            </w:r>
          </w:p>
        </w:tc>
        <w:tc>
          <w:tcPr>
            <w:tcW w:w="24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EDEDED" w:themeFill="accent3" w:themeFillTint="33" w:val="clear"/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Projektowany obiekt</w:t>
            </w:r>
          </w:p>
        </w:tc>
      </w:tr>
      <w:tr>
        <w:trPr>
          <w:trHeight w:val="268" w:hRule="atLeast"/>
        </w:trPr>
        <w:tc>
          <w:tcPr>
            <w:tcW w:w="2376" w:type="dxa"/>
            <w:tcBorders>
              <w:top w:val="single" w:sz="4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EDEDED" w:themeFill="accent3" w:themeFillTint="33" w:val="clear"/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Projektowany obiekt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4,00 m</w:t>
            </w:r>
          </w:p>
        </w:tc>
        <w:tc>
          <w:tcPr>
            <w:tcW w:w="24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-</w:t>
            </w:r>
          </w:p>
        </w:tc>
      </w:tr>
      <w:tr>
        <w:trPr>
          <w:trHeight w:val="268" w:hRule="atLeast"/>
        </w:trPr>
        <w:tc>
          <w:tcPr>
            <w:tcW w:w="2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EDEDED" w:themeFill="accent3" w:themeFillTint="33" w:val="clear"/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Istniejąca wiata gospodarcza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12,22 m</w:t>
            </w:r>
          </w:p>
        </w:tc>
        <w:tc>
          <w:tcPr>
            <w:tcW w:w="24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12,22 m</w:t>
            </w:r>
          </w:p>
        </w:tc>
      </w:tr>
      <w:tr>
        <w:trPr>
          <w:trHeight w:val="268" w:hRule="atLeast"/>
        </w:trPr>
        <w:tc>
          <w:tcPr>
            <w:tcW w:w="23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color="auto" w:fill="EDEDED" w:themeFill="accent3" w:themeFillTint="33" w:val="clear"/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Istniejąca wiata ogniskowa</w:t>
            </w:r>
          </w:p>
        </w:tc>
        <w:tc>
          <w:tcPr>
            <w:tcW w:w="269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-</w:t>
            </w:r>
          </w:p>
        </w:tc>
        <w:tc>
          <w:tcPr>
            <w:tcW w:w="240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>
            <w:pPr>
              <w:pStyle w:val="GPPTabelka"/>
              <w:spacing w:lineRule="auto" w:line="257" w:before="0" w:after="40"/>
              <w:jc w:val="both"/>
              <w:rPr>
                <w:rFonts w:ascii="Calibri" w:hAnsi="Calibri" w:cs="Calibri" w:asciiTheme="minorHAnsi" w:cstheme="minorHAnsi" w:hAnsiTheme="minorHAnsi"/>
                <w:color w:val="auto"/>
              </w:rPr>
            </w:pPr>
            <w:r>
              <w:rPr>
                <w:rFonts w:cs="Calibri" w:cstheme="minorHAnsi"/>
                <w:color w:val="auto"/>
              </w:rPr>
              <w:t>12,02 m</w:t>
            </w:r>
          </w:p>
        </w:tc>
      </w:tr>
    </w:tbl>
    <w:p>
      <w:pPr>
        <w:pStyle w:val="GPPOPIS"/>
        <w:jc w:val="both"/>
        <w:rPr/>
      </w:pPr>
      <w:r>
        <w:rPr/>
      </w:r>
    </w:p>
    <w:p>
      <w:pPr>
        <w:pStyle w:val="GPPOPIS"/>
        <w:jc w:val="both"/>
        <w:rPr/>
      </w:pPr>
      <w:r>
        <w:rPr/>
      </w:r>
    </w:p>
    <w:p>
      <w:pPr>
        <w:pStyle w:val="GPPOPIS"/>
        <w:jc w:val="both"/>
        <w:rPr/>
      </w:pPr>
      <w:r>
        <w:rPr/>
      </w:r>
    </w:p>
    <w:p>
      <w:pPr>
        <w:pStyle w:val="GPPOPIS"/>
        <w:jc w:val="both"/>
        <w:rPr/>
      </w:pPr>
      <w:r>
        <w:rPr/>
      </w:r>
    </w:p>
    <w:p>
      <w:pPr>
        <w:pStyle w:val="GPPOPIS"/>
        <w:jc w:val="both"/>
        <w:rPr/>
      </w:pPr>
      <w:r>
        <w:rPr/>
      </w:r>
    </w:p>
    <w:p>
      <w:pPr>
        <w:pStyle w:val="GPPOPIS"/>
        <w:jc w:val="both"/>
        <w:rPr/>
      </w:pPr>
      <w:r>
        <w:rPr/>
        <w:t>Zgodnie z § 271 i 272 Rozporządzenia w sprawie warunków technicznych jakim powinny odpowiadać budynki i ich usytuowanie, odległości budynków od granic działek i obiektów są zgodne z wymaganymi, co przedstawia załącznik graficzny w dalszej części opracowania.</w:t>
      </w:r>
    </w:p>
    <w:p>
      <w:pPr>
        <w:pStyle w:val="GPPPUNKT11"/>
        <w:numPr>
          <w:ilvl w:val="1"/>
          <w:numId w:val="3"/>
        </w:numPr>
        <w:ind w:hanging="360" w:left="720"/>
        <w:jc w:val="both"/>
        <w:rPr/>
      </w:pPr>
      <w:bookmarkStart w:id="136" w:name="__RefHeading___Toc6144_1558697229"/>
      <w:bookmarkStart w:id="137" w:name="_Toc185760981"/>
      <w:bookmarkStart w:id="138" w:name="_Toc52561171"/>
      <w:bookmarkEnd w:id="136"/>
      <w:r>
        <w:rPr/>
        <w:t>Parametry budynków i ich kwalifikacja pożarowa, gęstość obciążenia ogniowego, przyjęta klasa odporności pożarowej budynków</w:t>
      </w:r>
      <w:bookmarkEnd w:id="137"/>
      <w:bookmarkEnd w:id="138"/>
    </w:p>
    <w:p>
      <w:pPr>
        <w:pStyle w:val="GPPOPIS"/>
        <w:rPr/>
      </w:pPr>
      <w:r>
        <w:rPr/>
        <w:t>Budynek stanowi użyteczności publicznej i zalicza się do kategorii zagrożenia ludzi ZL III.</w:t>
      </w:r>
    </w:p>
    <w:p>
      <w:pPr>
        <w:pStyle w:val="GPPOPIS"/>
        <w:rPr/>
      </w:pPr>
      <w:r>
        <w:rPr/>
        <w:t>Dla budynku ZL III niskiego określa się klasę odporności pożarowej „C”.   Dopuszcza się obniżenie wymaganej klasy odporności pożarowej w budynkach jednokondygnacyjnych ZL III do „D”.</w:t>
      </w:r>
    </w:p>
    <w:p>
      <w:pPr>
        <w:pStyle w:val="GPPPUNKT11"/>
        <w:numPr>
          <w:ilvl w:val="1"/>
          <w:numId w:val="3"/>
        </w:numPr>
        <w:ind w:hanging="360" w:left="720"/>
        <w:jc w:val="both"/>
        <w:rPr/>
      </w:pPr>
      <w:bookmarkStart w:id="139" w:name="__RefHeading___Toc6146_1558697229"/>
      <w:bookmarkStart w:id="140" w:name="_Toc52561178"/>
      <w:bookmarkStart w:id="141" w:name="_Toc17126230"/>
      <w:bookmarkStart w:id="142" w:name="_Toc418584555"/>
      <w:bookmarkStart w:id="143" w:name="_Toc380960044"/>
      <w:bookmarkStart w:id="144" w:name="_Toc340128579"/>
      <w:bookmarkStart w:id="145" w:name="_Toc340127470"/>
      <w:bookmarkStart w:id="146" w:name="_Toc340127264"/>
      <w:bookmarkStart w:id="147" w:name="_Toc313885061"/>
      <w:bookmarkStart w:id="148" w:name="_Toc185760982"/>
      <w:bookmarkEnd w:id="139"/>
      <w:r>
        <w:rPr/>
        <w:t>Oddzielenia przeciwpożarowe</w:t>
      </w:r>
      <w:bookmarkEnd w:id="140"/>
      <w:bookmarkEnd w:id="141"/>
      <w:bookmarkEnd w:id="142"/>
      <w:bookmarkEnd w:id="143"/>
      <w:bookmarkEnd w:id="144"/>
      <w:bookmarkEnd w:id="145"/>
      <w:bookmarkEnd w:id="146"/>
      <w:bookmarkEnd w:id="147"/>
      <w:bookmarkEnd w:id="148"/>
    </w:p>
    <w:p>
      <w:pPr>
        <w:pStyle w:val="GPPOPIS"/>
        <w:rPr/>
      </w:pPr>
      <w:r>
        <w:rPr/>
        <w:t xml:space="preserve">Budynek stanowi jedną strefę pożarową.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49" w:name="__RefHeading___Toc6148_1558697229"/>
      <w:bookmarkStart w:id="150" w:name="_Toc185760983"/>
      <w:bookmarkStart w:id="151" w:name="_Toc52561184"/>
      <w:bookmarkStart w:id="152" w:name="_Toc17126236"/>
      <w:bookmarkEnd w:id="149"/>
      <w:r>
        <w:rPr/>
        <w:t>Drogi pożarowe</w:t>
      </w:r>
      <w:bookmarkEnd w:id="150"/>
      <w:bookmarkEnd w:id="151"/>
      <w:bookmarkEnd w:id="152"/>
    </w:p>
    <w:p>
      <w:pPr>
        <w:pStyle w:val="GPPOPIS"/>
        <w:rPr/>
      </w:pPr>
      <w:r>
        <w:rPr/>
        <w:t xml:space="preserve">Budynek użyteczności publicznej, wolnostojący ZL III, niski, jednokondygnacyjny, nie wymaga zapewnienia drogi pożarowej zgodnie z § 12. Rozporządzenia ws. przeciwpożarowego zaopatrzenia w wodę oraz dróg pożarowych. Jednocześnie dostęp do drogi pożarowej może być realizowany bezpośrednio z drogi publicznej – odległość projektowanego budynku od drogi zawiera się w dopuszczalnym przedziale 5-15 m, pomiędzy tą drogą i ścianą budynku nie występują stałe elementy zagospodarowania terenu lub drzewa i krzewy o wysokości przekraczającej 3 m, a budynek jest w stosunku do niej zlokalizowany wzdłuż dłuższego boku.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53" w:name="__RefHeading___Toc6150_1558697229"/>
      <w:bookmarkStart w:id="154" w:name="_Toc185760984"/>
      <w:bookmarkEnd w:id="153"/>
      <w:r>
        <w:rPr/>
        <w:t>Przeciwpożarowe zaopatrzenie w wodę</w:t>
      </w:r>
      <w:bookmarkEnd w:id="154"/>
    </w:p>
    <w:p>
      <w:pPr>
        <w:pStyle w:val="GPPOPIS"/>
        <w:rPr/>
      </w:pPr>
      <w:r>
        <w:rPr/>
        <w:t xml:space="preserve">Budynek użyteczności publicznej,  wolnostojący ZL III niski nie wymaga zapewnienia dodatkowego przeciwpożarowego zaopatrzenia w wodę. Woda do celów przeciwpożarowych do zewnętrznego gaszenia pożaru jest zapewniona w ramach ilości wody przewidywanych dla jednostek osadniczych o liczbie mieszkańców do 2000. </w:t>
      </w:r>
    </w:p>
    <w:p>
      <w:pPr>
        <w:pStyle w:val="GPPOPIS"/>
        <w:rPr/>
      </w:pPr>
      <w:r>
        <w:rPr/>
        <w:t xml:space="preserve">Woda zostanie zapewniona z istniejącej sieci wodociągowej. </w:t>
      </w:r>
    </w:p>
    <w:p>
      <w:pPr>
        <w:pStyle w:val="GPPOPIS"/>
        <w:rPr/>
      </w:pPr>
      <w:r>
        <w:rPr/>
      </w:r>
    </w:p>
    <w:p>
      <w:pPr>
        <w:pStyle w:val="GPPPUNKT1"/>
        <w:numPr>
          <w:ilvl w:val="0"/>
          <w:numId w:val="3"/>
        </w:numPr>
        <w:ind w:hanging="425" w:left="567"/>
        <w:rPr/>
      </w:pPr>
      <w:bookmarkStart w:id="155" w:name="__RefHeading___Toc6152_1558697229"/>
      <w:bookmarkStart w:id="156" w:name="_Toc185760985"/>
      <w:bookmarkEnd w:id="155"/>
      <w:r>
        <w:rPr/>
        <w:t>Analiza oddziaływania obiektu budowlanego</w:t>
      </w:r>
      <w:bookmarkEnd w:id="105"/>
      <w:bookmarkEnd w:id="156"/>
    </w:p>
    <w:p>
      <w:pPr>
        <w:pStyle w:val="GPPOPIS"/>
        <w:jc w:val="both"/>
        <w:rPr/>
      </w:pPr>
      <w:r>
        <w:rPr/>
        <w:t>Zgodnie i na podstawie art 34 ust. 3 pkt.5 i w związku z art 20 ust. 1 pkt. 1c ustawy Prawo budowlane obszar oddziaływania inwestycji zamyka się w zakresie działki 26/1.</w:t>
      </w:r>
    </w:p>
    <w:p>
      <w:pPr>
        <w:pStyle w:val="GPPOPIS"/>
        <w:jc w:val="both"/>
        <w:rPr/>
      </w:pPr>
      <w:r>
        <w:rPr/>
      </w:r>
    </w:p>
    <w:p>
      <w:pPr>
        <w:pStyle w:val="GPPpodkreslowny"/>
        <w:jc w:val="both"/>
        <w:rPr/>
      </w:pPr>
      <w:bookmarkStart w:id="157" w:name="_Toc460834382"/>
      <w:r>
        <w:rPr/>
        <w:t>Dane techniczne obiektu budowlanego charakteryzujące wpływ obiektu na środowisko</w:t>
      </w:r>
      <w:bookmarkEnd w:id="157"/>
      <w:r>
        <w:rPr/>
        <w:t>, zagrożenia i uciążliwości</w:t>
      </w:r>
    </w:p>
    <w:p>
      <w:pPr>
        <w:pStyle w:val="GPPOPIS"/>
        <w:jc w:val="both"/>
        <w:rPr/>
      </w:pPr>
      <w:r>
        <w:rPr/>
        <w:t>Zgodnie z paragrafem 11 warunków technicznych, jakim powinny odpowiadać budynki i ich usytuowanie, gdzie mowa o uciążliwości projektowana Inwestycja: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Szkodliwego promieniowania i oddziaływania pól elektromagnetycznych – brak;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Hałas i drgania – akustyczne standardy środowiska w otoczeniu inwestycji zostaną dochowane, hałas nie przekracza określonej przepisami odrębnymi normy, drgania nie występują;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Zanieczyszczenie powietrza – brak, standardy jakości powietrza zostaną dotrzymane również poza terenem, do którego Inwestor posiada tytuł prawny;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Zanieczyszczenie gruntu i wód – sposób zagospodarowania terenu nie przewiduje przekroczenia norm. Wszelkie powstałe na terenie ścieki zostaną ujęte w system kanalizacji i odprowadzone do zbiornika bezodpływowego. Do inwestycji zostanie doprowadzona woda poprzez wodociąg. Woda opadowa i roztopowa z utwardzonych powierzchni oraz dachów zostanie zretencjonowana na terenie inwestycji. Wszelkie instalacje zostaną wykonane w sposób szczelny, co zostanie sprawdzone podczas realizacji inwestycji, przed zakopaniem;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Powodzie i zalewanie wodami opadowymi –</w:t>
      </w:r>
      <w:bookmarkStart w:id="158" w:name="_Hlk32871383"/>
      <w:r>
        <w:rPr/>
        <w:t xml:space="preserve"> teren objęty opracowaniem nie znajduje się w obszarze szczególnego zagrożenia powodzią. Tereny zielone będą realizowały dotychczasowy sposób gospodarki wodnej pochodzącej z opadów atmosferycznych, który jest najbardziej naturalnym dla takiej funkcji. Nie przewiduje się negatywnego odziaływania na zwiększenie ryzyka powodziowego, zalewania terenów sąsiednich oraz terenu inwestycji. 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Uporządkowana gospodarka wodno – ściekowa i uporządkowana gospodarka odpadami są wystarczające dla uniknięcia jakiegokolwiek oddziaływania pośredniego na stan wód w trakcie eksploatacji przedsięwzięcia. Przedsięwzięcie nie stanowi zagrożenia dla osiągnięcia celów środowiskowych wód powierzchniowych i podziemnych, o których mowa w ustawie Prawo Wodne</w:t>
      </w:r>
      <w:bookmarkEnd w:id="158"/>
      <w:r>
        <w:rPr/>
        <w:t>;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Osuwiska gruntu, lawiny skalne i śnieżne – brak;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Szkody spowodowane działalnością górniczą – brak;</w:t>
      </w:r>
    </w:p>
    <w:p>
      <w:pPr>
        <w:pStyle w:val="GPPOPIS"/>
        <w:jc w:val="both"/>
        <w:rPr/>
      </w:pPr>
      <w:r>
        <w:rPr/>
        <w:t>Skala przedsięwzięcia oraz procesów prowadzonych w ramach inwestycji jest na tyle niewielka, że nie przewiduje się oddziaływania inwestycji na zmiany klimatu.</w:t>
      </w:r>
    </w:p>
    <w:p>
      <w:pPr>
        <w:pStyle w:val="GPPOPIS"/>
        <w:jc w:val="both"/>
        <w:rPr/>
      </w:pPr>
      <w:r>
        <w:rPr/>
        <w:t>Ponadto nie przewiduje się oddziaływania obniżającego wartość działek sąsiednich. Działki sąsiednie przeznaczone są pod lokalizację dróg lub jako tereny rekreacyjne i będące we władaniu Inwestora.</w:t>
      </w:r>
    </w:p>
    <w:p>
      <w:pPr>
        <w:pStyle w:val="GPPpodkreslowny"/>
        <w:jc w:val="both"/>
        <w:rPr/>
      </w:pPr>
      <w:bookmarkStart w:id="159" w:name="_Toc460834383"/>
      <w:r>
        <w:rPr/>
        <w:t>Przy określaniu obszaru oddziaływania obiektu stosowano się do następujących przepisów:</w:t>
      </w:r>
      <w:bookmarkEnd w:id="159"/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art. 5 ust.1 ustawy z dnia 7 lipca 1994r.- Prawo Budowlane. Projektowane założenie nie doprowadza do ograniczeń pobliskich terenów w zakresie zapewnienia im wskazanych w tym zapisie wymagań podstawowych dotyczących: bezpieczeństwa konstrukcji, bezpieczeństwa pożarowego, bezpieczeństwa użytkowania, odpowiednich warunków higienicznych i zdrowotnych oraz ochrony środowiska, ochrony przed hałasem i drganiami, odpowiedniej charakterystyki energetycznej budynku oraz racjonalizacji użytkowania energii.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§ 113 ust.5 i 7 rozporządzenia Ministra Transportu i Gospodarki Morskiej z dnia 2 marca 1999r. w sprawie warunków technicznych, jakimi powinny odpowiadać drogi publicznych i ich usytuowanie.</w:t>
        <w:br/>
        <w:t>Zjazd z inwestycji nie zagraża bezpieczeństwu uczestnikom ruchu drogowego. Istniejący zjazd nie ma ograniczonej widoczności ani ni znajduje się w strefie skrzyżowania lub węzła.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 xml:space="preserve">art. 135 ustawa z dnia 27 kwietnia 2001r. – Prawo ochrony środowiska </w:t>
        <w:br/>
        <w:t>W związku z brakiem kolizji planowanej zabudowy z drzewami i krzewami nie jest konieczne uzyskanie zgody na wycięcie drzew i krzewów, które są w kolizji. Dla inwestycji nie planuje się utworzenia obszaru ograniczonego użytkowania – realizacja inwestycji nie powoduje przekroczenia standardów jakości środowiska poza terenem, do którego Inwestor posiada tytuł prawny.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§2 ust.52 - Rozporządzenia Rady ministrów z 10 września 2019r. w sprawie przedsięwzięć mogących znacząco oddziaływać na środowisko. Inwestycja nie kwalifikuje się jako obiekt mogący znacząco wpływać na środowisko.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Załącznik do Rozporządzenia Ministra środowiska z dnia 14 czerwca 2007r. w sprawie dopuszczalnych poziomów hałasu w środowisku. Inwestycja nie przekracza dopuszczalnych wartości hałasu.</w:t>
      </w:r>
    </w:p>
    <w:p>
      <w:pPr>
        <w:pStyle w:val="GPPkropka"/>
        <w:numPr>
          <w:ilvl w:val="0"/>
          <w:numId w:val="4"/>
        </w:numPr>
        <w:ind w:hanging="284" w:left="1135"/>
        <w:jc w:val="both"/>
        <w:rPr/>
      </w:pPr>
      <w:r>
        <w:rPr/>
        <w:t>Rozporządzenie Ministra Infrastruktury z dnia 12 kwietnia 2002r. w sprawie warunków technicznych, jakim powinny odpowiadać budynki i ich usytuowanie:</w:t>
      </w:r>
    </w:p>
    <w:p>
      <w:pPr>
        <w:pStyle w:val="GPPkropka"/>
        <w:numPr>
          <w:ilvl w:val="0"/>
          <w:numId w:val="0"/>
        </w:numPr>
        <w:tabs>
          <w:tab w:val="clear" w:pos="708"/>
          <w:tab w:val="left" w:pos="993" w:leader="none"/>
        </w:tabs>
        <w:ind w:hanging="0" w:left="993"/>
        <w:rPr/>
      </w:pPr>
      <w:r>
        <w:rPr/>
        <w:t>- wg §11 – budynek został zaprojektowany z uwzględnieniem zasięgu zagrożeń i uciążliwości określonych w przepisach odrębnych, opisane wcześniej (Warunki techniczne obiektu budowlanego uwzględniające zagrożenia i uciążliwości);</w:t>
      </w:r>
    </w:p>
    <w:p>
      <w:pPr>
        <w:pStyle w:val="GPPkropka"/>
        <w:numPr>
          <w:ilvl w:val="0"/>
          <w:numId w:val="0"/>
        </w:numPr>
        <w:ind w:hanging="142" w:left="993"/>
        <w:jc w:val="both"/>
        <w:rPr/>
      </w:pPr>
      <w:r>
        <w:rPr/>
        <w:t xml:space="preserve">   </w:t>
      </w:r>
      <w:r>
        <w:rPr/>
        <w:t xml:space="preserve">- wg §12 ust. 1 ww. rozporządzenia – budynek został zlokalizowany min. 4 m od granicy działki, wymagane odległości względem innych obiektów budowlanych zostały zachowane, </w:t>
      </w:r>
    </w:p>
    <w:p>
      <w:pPr>
        <w:pStyle w:val="GPPOPIS"/>
        <w:ind w:left="993"/>
        <w:jc w:val="both"/>
        <w:rPr/>
      </w:pPr>
      <w:r>
        <w:rPr/>
        <w:t>- wg §13 ust. 1 ww. rozporządzenia – zostały spełnione wymagane odległości między obiektami przesłanianymi i przesłaniającymi. Każde z pomieszczeń przeznaczonych na stały pobyt ludzi ma zapewnione naturalne oświetlenie;</w:t>
      </w:r>
    </w:p>
    <w:p>
      <w:pPr>
        <w:pStyle w:val="GPPOPIS"/>
        <w:ind w:left="993"/>
        <w:jc w:val="both"/>
        <w:rPr/>
      </w:pPr>
      <w:r>
        <w:rPr/>
        <w:t>- wg §14 – inwestycja ma zapewniony dostęp do drogi publicznej;</w:t>
      </w:r>
    </w:p>
    <w:p>
      <w:pPr>
        <w:pStyle w:val="GPPOPIS"/>
        <w:ind w:left="993"/>
        <w:jc w:val="both"/>
        <w:rPr/>
      </w:pPr>
      <w:r>
        <w:rPr/>
        <w:t>- wg §18 i §19 ww. rozporządzenia – w zagospodarowaniu terenu oznaczone są miejsca parkingowe. Ilość miejsc jest zgodna z zapisami z miejscowego planu zagospodarowania przestrzennego. Odległości określone w §19 ust. 1 miejsc parkingowych od granic działki zostały spełnione;</w:t>
      </w:r>
    </w:p>
    <w:p>
      <w:pPr>
        <w:pStyle w:val="GPPOPIS"/>
        <w:ind w:left="993"/>
        <w:jc w:val="both"/>
        <w:rPr/>
      </w:pPr>
      <w:r>
        <w:rPr/>
        <w:t>- wg §23 ww. rozporządzenia odległości miejsc na pojemniki i kontenery na odpady stałe zostały zlokalizowane w odległościach spełniających ww. zapisy.</w:t>
      </w:r>
    </w:p>
    <w:p>
      <w:pPr>
        <w:pStyle w:val="GPPOPIS"/>
        <w:ind w:left="993"/>
        <w:jc w:val="both"/>
        <w:rPr/>
      </w:pPr>
      <w:r>
        <w:rPr/>
        <w:t>- wg §26, §28  – inwestycja zostanie przyłączona do sieci wodociągowej, elektroenergetycznej;</w:t>
      </w:r>
    </w:p>
    <w:p>
      <w:pPr>
        <w:pStyle w:val="GPPOPIS"/>
        <w:ind w:left="993"/>
        <w:jc w:val="both"/>
        <w:rPr/>
      </w:pPr>
      <w:r>
        <w:rPr/>
        <w:t xml:space="preserve">- wg §29  – naturalny spływ wód opadowych z terenu inwestycji nie zostanie zmieniony. </w:t>
      </w:r>
    </w:p>
    <w:p>
      <w:pPr>
        <w:pStyle w:val="GPPOPIS"/>
        <w:ind w:left="993"/>
        <w:jc w:val="both"/>
        <w:rPr/>
      </w:pPr>
      <w:r>
        <w:rPr/>
        <w:t>- wg §41  teren jest ogrodzony, istniejące ogrodzenie z siatki rozparte jest na słupkach stalowych i nie posiada ostrych zakończeń, brama otwiera się w głębi działki, po otwarciu nie przekracza jej granicy, szerokość w świetle dla bramy to ok. 4,4 m</w:t>
      </w:r>
    </w:p>
    <w:p>
      <w:pPr>
        <w:pStyle w:val="GPPOPIS"/>
        <w:ind w:left="993"/>
        <w:jc w:val="both"/>
        <w:rPr/>
      </w:pPr>
      <w:r>
        <w:rPr/>
        <w:t>- wg §60 w/w. rozporządzenia pomieszczenia przeznaczone na cele mieszkalne na terenie nieruchomości sąsiedniej nie zostaną pozbawione naturalnego oświetlenia w czasie nie dłuższym niż 3 godziny w przedziale godzinowym 7:00-17:00, projektowana zabudowa będzie oddalona od istniejących budynków na tyle, że wszelkie normy zostaną dochowane;</w:t>
      </w:r>
    </w:p>
    <w:p>
      <w:pPr>
        <w:pStyle w:val="GPPOPIS"/>
        <w:ind w:left="993"/>
        <w:jc w:val="both"/>
        <w:rPr/>
      </w:pPr>
      <w:r>
        <w:rPr/>
        <w:t xml:space="preserve">- wg §271 i 272 ww rozporządzenia – odległość budynku od granicy z nieruchomością sąsiednią jest większa niż wymagana prawem.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bookmarkStart w:id="160" w:name="_Hlk46758096"/>
      <w:r>
        <w:rPr/>
        <w:t>Ustawa z dnia 23 lipca 2003 r. o ochronie zabytków i opiece nad zabytkami ( Dz.U.2014.1446j.t.)</w:t>
      </w:r>
      <w:bookmarkEnd w:id="160"/>
      <w:r>
        <w:rPr/>
        <w:t xml:space="preserve"> </w:t>
        <w:br/>
        <w:t>Na terenie inwestycji nie są zlokalizowane żadne stanowiska archeologiczne. Teren inwestycji nie jest objęty ochroną konserwatorską i nie znajduje się w bliskim sąsiedztwie stref ochrony konserwatorskiej.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Ustawa z dnia 28 marca 2003 r . o transporcie kolejowym (Dz.U.2021.0.1984 t.j.)</w:t>
      </w:r>
    </w:p>
    <w:p>
      <w:pPr>
        <w:pStyle w:val="GPPOPIS"/>
        <w:ind w:firstLine="425" w:left="710"/>
        <w:rPr/>
      </w:pPr>
      <w:r>
        <w:rPr/>
        <w:t>Teren inwestycji nie graniczy z terenem zamkniętym.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Ustawa z dnia 21 marca 1985 r. o drogach publicznych (Dz.U.2021.-.1376 t.j.)</w:t>
      </w:r>
    </w:p>
    <w:p>
      <w:pPr>
        <w:pStyle w:val="GPPkropka"/>
        <w:numPr>
          <w:ilvl w:val="0"/>
          <w:numId w:val="0"/>
        </w:numPr>
        <w:ind w:hanging="0" w:left="1135"/>
        <w:jc w:val="both"/>
        <w:rPr/>
      </w:pPr>
      <w:r>
        <w:rPr/>
        <w:t>Projekt spełnia wymogi wskazujące lokalizację budynków względem terenów komunikacji ogólnej.</w:t>
      </w:r>
    </w:p>
    <w:p>
      <w:pPr>
        <w:pStyle w:val="Normal"/>
        <w:jc w:val="both"/>
        <w:rPr/>
      </w:pPr>
      <w:r>
        <w:rPr/>
      </w:r>
      <w:bookmarkStart w:id="161" w:name="__RefHeading___Toc354484987"/>
      <w:bookmarkStart w:id="162" w:name="__RefHeading___Toc354484987"/>
      <w:bookmarkEnd w:id="104"/>
      <w:bookmarkEnd w:id="162"/>
    </w:p>
    <w:p>
      <w:pPr>
        <w:pStyle w:val="GPPCZESCI"/>
        <w:ind w:hanging="0" w:left="142"/>
        <w:jc w:val="both"/>
        <w:rPr/>
      </w:pPr>
      <w:bookmarkStart w:id="163" w:name="__RefHeading___Toc6154_1558697229"/>
      <w:bookmarkStart w:id="164" w:name="_Toc185760986"/>
      <w:bookmarkStart w:id="165" w:name="_Toc52561192"/>
      <w:bookmarkStart w:id="166" w:name="_Toc422237186"/>
      <w:bookmarkStart w:id="167" w:name="_Toc393105864"/>
      <w:bookmarkEnd w:id="163"/>
      <w:r>
        <w:rPr/>
        <w:t>INFORMACJA DOTYCZĄCA ODSTĘPSTW OD PROJEKTU</w:t>
      </w:r>
      <w:bookmarkEnd w:id="164"/>
      <w:bookmarkEnd w:id="165"/>
      <w:bookmarkEnd w:id="166"/>
      <w:bookmarkEnd w:id="167"/>
    </w:p>
    <w:p>
      <w:pPr>
        <w:pStyle w:val="GPPOPIS"/>
        <w:jc w:val="both"/>
        <w:rPr/>
      </w:pPr>
      <w:r>
        <w:rPr/>
        <w:t>Dopuszcza się inne rozwiązania projektowe wszystkich branż stanowiących przedmiot opracowania niniejszego projektu budowlanego na etapie sporządzania projektu wykonawczego, o ile nie stanowią zmian istotnych.</w:t>
      </w:r>
    </w:p>
    <w:p>
      <w:pPr>
        <w:pStyle w:val="GPPOPIS"/>
        <w:jc w:val="both"/>
        <w:rPr/>
      </w:pPr>
      <w:r>
        <w:rPr/>
        <w:t>Wszystkie odstępstwa określone jako istotne, wymagają uzyskania pozwolenia zamiennego. Istotne odstępstwa zostaną określone przez projektanta na etapie ewentualnego projektu zamiennego na podstawie Prawa Budowlanego.</w:t>
      </w:r>
    </w:p>
    <w:p>
      <w:pPr>
        <w:pStyle w:val="GPPOPIS"/>
        <w:jc w:val="both"/>
        <w:rPr/>
      </w:pPr>
      <w:r>
        <w:rPr/>
        <w:t>Wszystkie rozwiązania zastosowane w projekcie mogą być zastąpione w ramach zmian nieistotnych przez inne odpowiadające pierwotnym lub je przewyższające pod względem funkcjonalnym i technicznym. Wszystkie użyte materiały powinny posiadać atesty techniczne zgodnie z odpowiednimi normami, odpowiednie aprobaty i dopuszczenia.</w:t>
      </w:r>
    </w:p>
    <w:p>
      <w:pPr>
        <w:pStyle w:val="Normal"/>
        <w:spacing w:lineRule="auto" w:line="259" w:before="0" w:after="160"/>
        <w:ind w:left="0"/>
        <w:jc w:val="both"/>
        <w:rPr>
          <w:rFonts w:ascii="Calibri" w:hAnsi="Calibri"/>
          <w:sz w:val="20"/>
        </w:rPr>
      </w:pPr>
      <w:r>
        <w:rPr>
          <w:rFonts w:ascii="Calibri" w:hAnsi="Calibri"/>
          <w:sz w:val="20"/>
        </w:rPr>
      </w:r>
      <w:r>
        <w:br w:type="page"/>
      </w:r>
    </w:p>
    <w:p>
      <w:pPr>
        <w:pStyle w:val="GPPCZESCI"/>
        <w:pBdr>
          <w:bottom w:val="single" w:sz="6" w:space="0" w:color="000000"/>
        </w:pBdr>
        <w:spacing w:before="0" w:after="120"/>
        <w:ind w:hanging="0" w:left="142"/>
        <w:rPr/>
      </w:pPr>
      <w:bookmarkStart w:id="168" w:name="__RefHeading___Toc6156_1558697229"/>
      <w:bookmarkStart w:id="169" w:name="_Toc185760987"/>
      <w:bookmarkStart w:id="170" w:name="_Toc476602173"/>
      <w:bookmarkStart w:id="171" w:name="_Toc52561204"/>
      <w:bookmarkStart w:id="172" w:name="_Toc476602183"/>
      <w:bookmarkEnd w:id="168"/>
      <w:bookmarkEnd w:id="171"/>
      <w:bookmarkEnd w:id="172"/>
      <w:r>
        <w:rPr/>
        <w:t>INSTALACJE SANITARNE ZEWNĘTRZNE</w:t>
      </w:r>
      <w:bookmarkEnd w:id="169"/>
      <w:bookmarkEnd w:id="170"/>
    </w:p>
    <w:p>
      <w:pPr>
        <w:pStyle w:val="GPPPUNKT1"/>
        <w:numPr>
          <w:ilvl w:val="0"/>
          <w:numId w:val="3"/>
        </w:numPr>
        <w:rPr/>
      </w:pPr>
      <w:bookmarkStart w:id="173" w:name="__RefHeading___Toc6158_1558697229"/>
      <w:bookmarkStart w:id="174" w:name="_Toc185760988"/>
      <w:bookmarkStart w:id="175" w:name="_Toc183443758"/>
      <w:bookmarkStart w:id="176" w:name="_Toc476602174"/>
      <w:bookmarkEnd w:id="173"/>
      <w:r>
        <w:rPr/>
        <w:t>Podstawa opracowania:</w:t>
      </w:r>
      <w:bookmarkEnd w:id="174"/>
      <w:bookmarkEnd w:id="175"/>
      <w:bookmarkEnd w:id="176"/>
    </w:p>
    <w:p>
      <w:pPr>
        <w:pStyle w:val="GPPOPIS"/>
        <w:rPr/>
      </w:pPr>
      <w:bookmarkStart w:id="177" w:name="_Toc476602175"/>
      <w:bookmarkEnd w:id="177"/>
      <w:r>
        <w:rPr/>
        <w:t xml:space="preserve">Przedmiotem  niniejszego  opracowania  jest  projekt  zewnętrznej  instalacji  wody  oraz </w:t>
      </w:r>
    </w:p>
    <w:p>
      <w:pPr>
        <w:pStyle w:val="GPPOPIS"/>
        <w:rPr/>
      </w:pPr>
      <w:r>
        <w:rPr/>
        <w:t xml:space="preserve">kanalizacji  sanitarnej  do  zbiornika bezodpływowego na terenie inwestycji. </w:t>
      </w:r>
    </w:p>
    <w:p>
      <w:pPr>
        <w:pStyle w:val="GPPOPIS"/>
        <w:rPr/>
      </w:pPr>
      <w:r>
        <w:rPr/>
        <w:t xml:space="preserve">Podstawę opracowania stanowi: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 </w:t>
      </w:r>
      <w:r>
        <w:rPr/>
        <w:t xml:space="preserve">zlecenie Inwestora,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 </w:t>
      </w:r>
      <w:r>
        <w:rPr/>
        <w:t xml:space="preserve">projekt budowlany budynku,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 </w:t>
      </w:r>
      <w:r>
        <w:rPr/>
        <w:t xml:space="preserve">mapa sytuacyjno-wysokościowa,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 </w:t>
      </w:r>
      <w:r>
        <w:rPr/>
        <w:t xml:space="preserve">wizja lokalna,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 </w:t>
      </w:r>
      <w:r>
        <w:rPr/>
        <w:t xml:space="preserve">Rozporządzenie  Ministra  Infrastruktury  z  dnia  12  kwietnia  2002r.  w  sprawie  warunków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technicznych, jakim powinny odpowiadać budynki i ich usytuowanie (Dz. U. Nr 75 z 2002r.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poz. 690) wraz z późniejszymi zmianami,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 </w:t>
      </w:r>
      <w:r>
        <w:rPr/>
        <w:t xml:space="preserve">Polskie normy dotyczące instalacji wod-kan. </w:t>
      </w:r>
    </w:p>
    <w:p>
      <w:pPr>
        <w:pStyle w:val="NORMALPODST"/>
        <w:spacing w:before="0" w:after="60"/>
        <w:ind w:left="0"/>
        <w:jc w:val="both"/>
        <w:rPr>
          <w:szCs w:val="22"/>
        </w:rPr>
      </w:pPr>
      <w:r>
        <w:rPr>
          <w:szCs w:val="22"/>
        </w:rPr>
      </w:r>
    </w:p>
    <w:p>
      <w:pPr>
        <w:pStyle w:val="GPPPUNKT1"/>
        <w:numPr>
          <w:ilvl w:val="0"/>
          <w:numId w:val="3"/>
        </w:numPr>
        <w:rPr/>
      </w:pPr>
      <w:bookmarkStart w:id="178" w:name="__RefHeading___Toc6160_1558697229"/>
      <w:bookmarkStart w:id="179" w:name="_Toc185760989"/>
      <w:bookmarkStart w:id="180" w:name="_Toc183443759"/>
      <w:bookmarkStart w:id="181" w:name="_Toc476602178"/>
      <w:bookmarkStart w:id="182" w:name="_Toc460834390"/>
      <w:bookmarkStart w:id="183" w:name="_Toc447205589"/>
      <w:bookmarkStart w:id="184" w:name="_Toc436986577"/>
      <w:bookmarkStart w:id="185" w:name="_Toc425246796"/>
      <w:bookmarkStart w:id="186" w:name="_Toc476602175_kopia_1"/>
      <w:bookmarkEnd w:id="178"/>
      <w:bookmarkEnd w:id="186"/>
      <w:r>
        <w:rPr/>
        <w:t>Sieć kanalizacji sanitarnej</w:t>
      </w:r>
      <w:bookmarkEnd w:id="179"/>
      <w:bookmarkEnd w:id="180"/>
      <w:bookmarkEnd w:id="181"/>
      <w:bookmarkEnd w:id="182"/>
      <w:bookmarkEnd w:id="183"/>
      <w:bookmarkEnd w:id="184"/>
      <w:bookmarkEnd w:id="185"/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87" w:name="__RefHeading___Toc6162_1558697229"/>
      <w:bookmarkStart w:id="188" w:name="_Toc185760990"/>
      <w:bookmarkStart w:id="189" w:name="_Toc185259684"/>
      <w:bookmarkStart w:id="190" w:name="_Toc183443760"/>
      <w:bookmarkEnd w:id="187"/>
      <w:r>
        <w:rPr/>
        <w:t>Opis przyjętego rozwiązania</w:t>
      </w:r>
      <w:bookmarkEnd w:id="188"/>
      <w:bookmarkEnd w:id="189"/>
      <w:bookmarkEnd w:id="190"/>
    </w:p>
    <w:p>
      <w:pPr>
        <w:pStyle w:val="GPPOPIS"/>
        <w:rPr/>
      </w:pPr>
      <w:r>
        <w:rPr/>
        <w:t>Opracowanie obejmuje zewnętrzną instalację kanalizacji sanitarnej odprowadzającej ścieki z budynku do zbiornika bezodpływowego na terenie działki.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91" w:name="__RefHeading___Toc6164_1558697229"/>
      <w:bookmarkStart w:id="192" w:name="_Toc183443761"/>
      <w:bookmarkStart w:id="193" w:name="_Toc185760991"/>
      <w:bookmarkStart w:id="194" w:name="_Toc185259685"/>
      <w:bookmarkEnd w:id="191"/>
      <w:r>
        <w:rPr/>
        <w:t>Rurociągi</w:t>
      </w:r>
      <w:bookmarkEnd w:id="192"/>
      <w:bookmarkEnd w:id="193"/>
      <w:bookmarkEnd w:id="194"/>
    </w:p>
    <w:p>
      <w:pPr>
        <w:pStyle w:val="GPPOPIS"/>
        <w:rPr/>
      </w:pPr>
      <w:r>
        <w:rPr/>
        <w:t xml:space="preserve">Zaprojektowano rurociągi średnicy </w:t>
      </w:r>
      <w:r>
        <w:rPr>
          <w:rFonts w:eastAsia="Symbol" w:cs="Symbol" w:ascii="Symbol" w:hAnsi="Symbol"/>
        </w:rPr>
        <w:sym w:font="Symbol" w:char="f0c6"/>
      </w:r>
      <w:r>
        <w:rPr/>
        <w:t xml:space="preserve">200 z rur PVC klasy S o litej ściance łączone na uszczelki gumowe. Przewody układać w wykopie na podsypce piaskowej grub. 20cm ze spadkiem zgodnym z częścią rysunkową projektu. Po sprawdzeniu szczelności kanałów wykonać obsypkę piaskową do wysokości 30 cm ponad wierzch rury. Podsypkę i obsypkę należy zagęścić do współczynnika 0,98 wg Proctora. Powyżej wykop należy zasypać gruntem spoistym zagęszczalnym z zagęszczeniem warstwami co 20 cm do współczynnika 0,98 Proc (w drogach) i 0,95 Proc (w terenach zielonych). 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95" w:name="__RefHeading___Toc6166_1558697229"/>
      <w:bookmarkStart w:id="196" w:name="_Toc185760992"/>
      <w:bookmarkStart w:id="197" w:name="_Toc185259686"/>
      <w:bookmarkStart w:id="198" w:name="_Toc183443762"/>
      <w:bookmarkEnd w:id="195"/>
      <w:r>
        <w:rPr/>
        <w:t>Studnie kanalizacyjne</w:t>
      </w:r>
      <w:bookmarkEnd w:id="196"/>
      <w:bookmarkEnd w:id="197"/>
      <w:bookmarkEnd w:id="198"/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Na trasie rurociągów zaprojektowano studnie rewizyjne tworzywowe  DZ  425mm  o  następujących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właściwościach: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- wykonana zgodnie z normą PN-EN 476:2000 (niewłazowe);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- posiadająca dopuszczenie do stosowania w sieciach kanalizacyjnych;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- posiadająca odporność chemiczną tworzywowych elementów składowych (PE, PP,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PVC-u) zgodnie z ISO/TR 10358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-  posiadająca  odporność  chemiczną  uszczelek  zgodnie  z  ISO/TR  7620,  uszczelki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spełniające wymagania normy PN-EN 681-1:2002.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- stanowiąca kompletny system (rury, kształtki studzienki od jednego dostawcy).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Studnia  zostanie  przykryta  włazem  kanałowym  żeliwnym  bez  wentylacji  o  średnicy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425mm. Studnie tworzywową zaprojektowano jako studnię składającą się z: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•  </w:t>
      </w:r>
      <w:r>
        <w:rPr/>
        <w:t xml:space="preserve">kinety PP dla rury f425mm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•  </w:t>
      </w:r>
      <w:r>
        <w:rPr/>
        <w:t xml:space="preserve">rury karbowanej f425mm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•  </w:t>
      </w:r>
      <w:r>
        <w:rPr/>
        <w:t xml:space="preserve">rury teleskopowej f425mm 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•  </w:t>
      </w:r>
      <w:r>
        <w:rPr/>
        <w:t xml:space="preserve">właz żeliwny niewentylowany f425mm minimum klasy B125.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Między  rurą  wznoszącą  a  rurą  teleskopową zastosować  uszczelkę  EPDM.  Studnię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należy posadowić na zagęszczonej podsypce piaskowej o  grubości 15 cm.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199" w:name="__RefHeading___Toc6168_1558697229"/>
      <w:bookmarkStart w:id="200" w:name="_Toc185760993"/>
      <w:bookmarkEnd w:id="199"/>
      <w:r>
        <w:rPr/>
        <w:t>Zbiornik bezodpływowy</w:t>
      </w:r>
      <w:bookmarkEnd w:id="200"/>
    </w:p>
    <w:p>
      <w:pPr>
        <w:pStyle w:val="GPPOPIS"/>
        <w:rPr/>
      </w:pPr>
      <w:r>
        <w:rPr/>
        <w:t>Projektuje się zbiornik bezodpływowy o pojemności V=10m</w:t>
      </w:r>
      <w:r>
        <w:rPr>
          <w:vertAlign w:val="superscript"/>
        </w:rPr>
        <w:t>3</w:t>
      </w:r>
      <w:r>
        <w:rPr/>
        <w:t xml:space="preserve"> zlokalizowany zgodnie z częścią rysunkową. </w:t>
      </w:r>
    </w:p>
    <w:p>
      <w:pPr>
        <w:pStyle w:val="GPPOPIS"/>
        <w:rPr/>
      </w:pPr>
      <w:r>
        <w:rPr/>
        <w:t xml:space="preserve">Zbiornik bezodpływowy wykonać z elementów betonowych prefabrykowanych kl. C35/45, wyposażyć w komin  inspekcyjny zakończony  włazem kanałowym kl. B125 (w terenach zielonych). Zbiornik wyposażony w wywietrznik zapewniający wentylację, wykonany z rury PVC i zabezpieczony od góry przed opadami atmosferycznymi i wyprowadzony ponad poziom terenu na wysokość min.0.5m. Zbiornik osadzić na 15cm wylewce betonowej (B-10). </w:t>
      </w:r>
    </w:p>
    <w:p>
      <w:pPr>
        <w:pStyle w:val="GPPPUNKT1"/>
        <w:numPr>
          <w:ilvl w:val="0"/>
          <w:numId w:val="3"/>
        </w:numPr>
        <w:rPr/>
      </w:pPr>
      <w:bookmarkStart w:id="201" w:name="__RefHeading___Toc6170_1558697229"/>
      <w:bookmarkStart w:id="202" w:name="_Toc183443777"/>
      <w:bookmarkStart w:id="203" w:name="_Toc476602179"/>
      <w:bookmarkStart w:id="204" w:name="_Toc460834391"/>
      <w:bookmarkStart w:id="205" w:name="_Toc447205590"/>
      <w:bookmarkStart w:id="206" w:name="_Toc436986580"/>
      <w:bookmarkStart w:id="207" w:name="_Toc425246799"/>
      <w:bookmarkStart w:id="208" w:name="_Toc423441252"/>
      <w:bookmarkStart w:id="209" w:name="_Toc390181123"/>
      <w:bookmarkStart w:id="210" w:name="_Toc185760994"/>
      <w:bookmarkEnd w:id="201"/>
      <w:r>
        <w:rPr/>
        <w:t>Sieć wodociągowa</w:t>
      </w:r>
      <w:bookmarkEnd w:id="202"/>
      <w:bookmarkEnd w:id="203"/>
      <w:bookmarkEnd w:id="204"/>
      <w:bookmarkEnd w:id="205"/>
      <w:bookmarkEnd w:id="206"/>
      <w:bookmarkEnd w:id="207"/>
      <w:bookmarkEnd w:id="208"/>
      <w:bookmarkEnd w:id="209"/>
      <w:bookmarkEnd w:id="210"/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211" w:name="__RefHeading___Toc6172_1558697229"/>
      <w:bookmarkStart w:id="212" w:name="_Toc185760995"/>
      <w:bookmarkEnd w:id="211"/>
      <w:r>
        <w:rPr/>
        <w:t>Zakres opracowania</w:t>
      </w:r>
      <w:bookmarkEnd w:id="212"/>
    </w:p>
    <w:p>
      <w:pPr>
        <w:pStyle w:val="GPPOPIS"/>
        <w:rPr/>
      </w:pPr>
      <w:r>
        <w:rPr/>
        <w:t xml:space="preserve">Zakres projektu obejmuje podłączenie do istniejącej instalacji wodociągowej na terenie działki inwestycji do projektowanego budynku. Studzienka wodomierzowa oraz przyłącze wg odrębnego opracowania i pozwolenia. W przypadku braku studzienki wodomierzowej na istniejącym przyłączu, zestaw wodomierzowy wraz z zaworem antyskażeniowym dopuszcza się docelowo zamontować w budynku, na pierwszej ścianie w szafce natynkowej w ogrzewanym pomieszczeniu technicznym. Rozwiązanie do ustalenia zgodnie z warunkami technicznymi przyłączenia od gestora sieci wodociągowej. </w:t>
      </w:r>
    </w:p>
    <w:p>
      <w:pPr>
        <w:pStyle w:val="GPPOPIS"/>
        <w:rPr/>
      </w:pPr>
      <w:r>
        <w:rPr/>
        <w:t xml:space="preserve">Zawór antyskażeniowy, zgodnie z WT art. 113 ust. 7, uniemożliwi wtórne zanieczyszczenie wody, zgodnie z wymaganiami dla przepływów zwrotnych, określonymi w Polskiej Normie dotyczącej zabezpieczenia przed przepływem zwrotnym. </w:t>
      </w:r>
    </w:p>
    <w:p>
      <w:pPr>
        <w:pStyle w:val="GPPOPIS"/>
        <w:rPr/>
      </w:pPr>
      <w:r>
        <w:rPr/>
        <w:t>Elementy instalacji wodociągowej kolidujące z projektowanym budynkiem do usunięcia.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213" w:name="__RefHeading___Toc6174_1558697229"/>
      <w:bookmarkStart w:id="214" w:name="_Toc185760996"/>
      <w:bookmarkEnd w:id="213"/>
      <w:r>
        <w:rPr/>
        <w:t>Przyjęte rozwiązania</w:t>
      </w:r>
      <w:bookmarkEnd w:id="214"/>
    </w:p>
    <w:p>
      <w:pPr>
        <w:pStyle w:val="GPPOPIS"/>
        <w:rPr/>
      </w:pPr>
      <w:r>
        <w:rPr/>
        <w:t xml:space="preserve">Rurociągi zaprojektowano z rur PE100 PN10 SDR 17 w zakresie średnic Dy 40mm. W miejscu załamań rurociągu należy umieścić bloki oporowe z betonu C15/20. </w:t>
      </w:r>
    </w:p>
    <w:p>
      <w:pPr>
        <w:pStyle w:val="GPPOPIS"/>
        <w:rPr/>
      </w:pPr>
      <w:r>
        <w:rPr/>
        <w:t xml:space="preserve">Rurociąg ułożony zostanie na podsypce piaskowej grub. 0,2m i obsypany piaskiem do wysokości 0,3m ponad wierzch rury. Podsypka i obsypka zagęszczona do współczynnika 0,98 wg Proctora. Powyżej wykop należy zasypać gruntem spoistym zagęszczalnym z zagęszczeniem warstwami co 20 cm do współczynnika 0,98 Proc(w drogach) i 0,95 Proc (w terenach zielonych). Zachować minimalne przykrycie rurociągu 1,5 m, w przypadku mniejszego przykrycia rurociąg zabezpieczyć termicznie i przed nadmiernym obciążeniem. 30cm nad rurociągiem należy ułożyć  taśmę sygnalizacyjną koloru niebieskiego z wkładką metalową. </w:t>
      </w:r>
    </w:p>
    <w:p>
      <w:pPr>
        <w:pStyle w:val="GPPOPIS"/>
        <w:rPr/>
      </w:pPr>
      <w:r>
        <w:rPr/>
        <w:t>Zasilanie w wodę zgodnie z wydanymi warunkami technicznymi przyłączenia.</w:t>
      </w:r>
    </w:p>
    <w:p>
      <w:pPr>
        <w:pStyle w:val="GPPPUNKT1"/>
        <w:numPr>
          <w:ilvl w:val="0"/>
          <w:numId w:val="3"/>
        </w:numPr>
        <w:rPr/>
      </w:pPr>
      <w:bookmarkStart w:id="215" w:name="__RefHeading___Toc6176_1558697229"/>
      <w:bookmarkStart w:id="216" w:name="_Toc185760997"/>
      <w:bookmarkStart w:id="217" w:name="_Toc183443778"/>
      <w:bookmarkStart w:id="218" w:name="_Toc476602180"/>
      <w:bookmarkStart w:id="219" w:name="_Toc460834394"/>
      <w:bookmarkStart w:id="220" w:name="_Toc447205593"/>
      <w:bookmarkStart w:id="221" w:name="_Toc436986588"/>
      <w:bookmarkStart w:id="222" w:name="_Toc425246807"/>
      <w:bookmarkStart w:id="223" w:name="_Toc423441260"/>
      <w:bookmarkStart w:id="224" w:name="_Toc390181128"/>
      <w:bookmarkEnd w:id="215"/>
      <w:r>
        <w:rPr/>
        <w:t>Próby szczelności</w:t>
      </w:r>
      <w:bookmarkEnd w:id="216"/>
      <w:bookmarkEnd w:id="217"/>
      <w:bookmarkEnd w:id="218"/>
      <w:bookmarkEnd w:id="219"/>
      <w:bookmarkEnd w:id="220"/>
      <w:bookmarkEnd w:id="221"/>
      <w:bookmarkEnd w:id="222"/>
      <w:bookmarkEnd w:id="223"/>
      <w:bookmarkEnd w:id="224"/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225" w:name="__RefHeading___Toc6178_1558697229"/>
      <w:bookmarkStart w:id="226" w:name="_Toc185760998"/>
      <w:bookmarkStart w:id="227" w:name="_Toc436986589"/>
      <w:bookmarkStart w:id="228" w:name="_Toc425246808"/>
      <w:bookmarkStart w:id="229" w:name="_Toc423441261"/>
      <w:bookmarkStart w:id="230" w:name="_Toc390181129"/>
      <w:bookmarkEnd w:id="225"/>
      <w:r>
        <w:rPr/>
        <w:t>Próba szczelności sieci wodociągowej</w:t>
      </w:r>
      <w:bookmarkEnd w:id="226"/>
      <w:bookmarkEnd w:id="227"/>
      <w:bookmarkEnd w:id="228"/>
      <w:bookmarkEnd w:id="229"/>
      <w:bookmarkEnd w:id="230"/>
    </w:p>
    <w:p>
      <w:pPr>
        <w:pStyle w:val="GPPOPIS"/>
        <w:rPr/>
      </w:pPr>
      <w:r>
        <w:rPr/>
        <w:t xml:space="preserve">Po wykonaniu i osiągnięciu odpowiedniej wytrzymałości przez bloki oporowe instalację  wodociągową należy poddać płukaniu i próbie ciśnieniowej, aby sprawdzić szczelność i wytrzymałość złączy. Po uzyskaniu pozytywnych wyników próby szczelności należy przewód poddać płukaniu używając w tym celu czystej wody wodociągowej. Prędkość przepływu wody w przewodzie powinna umożliwić usunięcie wszystkich zanieczyszczeń mechanicznych występujących w przewodzie. Szczelność odcinka i całego przewodu wody socjalnej powinna być sprawdzona zgodnie z obowiązującą normą PN-EN 805 Zaopatrzenie w wodę. Wymagania  dotyczące systemów zewnętrznych i ich części składowych. Ciśnienie próbne przy badaniach przewodu na szczelność wynosi 1,5 razy w stosunku do ciśnienia roboczego. </w:t>
      </w:r>
    </w:p>
    <w:p>
      <w:pPr>
        <w:pStyle w:val="GPPOPIS"/>
        <w:rPr/>
      </w:pPr>
      <w:r>
        <w:rPr/>
        <w:t xml:space="preserve">Ciśnienie próby dla instalacji 1,5 x MDPa, gdzie MDPa jest maksymalnym ciśnieniem projektowanym. Założono ciśnienie próbne 0.9MPa. </w:t>
      </w:r>
    </w:p>
    <w:p>
      <w:pPr>
        <w:pStyle w:val="GPPPUNKT11"/>
        <w:numPr>
          <w:ilvl w:val="1"/>
          <w:numId w:val="3"/>
        </w:numPr>
        <w:ind w:hanging="360" w:left="720"/>
        <w:rPr/>
      </w:pPr>
      <w:bookmarkStart w:id="231" w:name="__RefHeading___Toc6180_1558697229"/>
      <w:bookmarkStart w:id="232" w:name="_Toc436986590"/>
      <w:bookmarkStart w:id="233" w:name="_Toc425246809"/>
      <w:bookmarkStart w:id="234" w:name="_Toc423441262"/>
      <w:bookmarkStart w:id="235" w:name="_Toc390181130"/>
      <w:bookmarkStart w:id="236" w:name="_Toc185760999"/>
      <w:bookmarkEnd w:id="231"/>
      <w:r>
        <w:rPr/>
        <w:t>Próba szczelności sieci kanalizacyjnej</w:t>
      </w:r>
      <w:bookmarkEnd w:id="232"/>
      <w:bookmarkEnd w:id="233"/>
      <w:bookmarkEnd w:id="234"/>
      <w:bookmarkEnd w:id="235"/>
      <w:bookmarkEnd w:id="236"/>
    </w:p>
    <w:p>
      <w:pPr>
        <w:pStyle w:val="GPPOPIS"/>
        <w:rPr/>
      </w:pPr>
      <w:bookmarkStart w:id="237" w:name="_Hlk71536649"/>
      <w:bookmarkEnd w:id="237"/>
      <w:r>
        <w:rPr/>
        <w:t xml:space="preserve">Przewody kanalizacyjne powinny być poddane badaniom w zakresie szczelności na eksfiltrację ścieków do gruntu i infiltrację wód gruntowych do kanału. Próby szczelności należy przeprowadzić zgodnie z wymogami podanymi w normie PN EN 1610:2015 Budowa i badania przewodów kanalizacyjnych. Wyniki prób szczelności powinny być ujęte w protokołach, podpisanych przez przedstawicieli wykonawcy, nadzoru inwestycyjnego i użytkownika. Próbę ciśnienia przewodu tłocznego przeprowadzić jak dla wodociągu wody pitnej. </w:t>
      </w:r>
    </w:p>
    <w:p>
      <w:pPr>
        <w:pStyle w:val="GPPPUNKT1"/>
        <w:numPr>
          <w:ilvl w:val="0"/>
          <w:numId w:val="3"/>
        </w:numPr>
        <w:rPr>
          <w:sz w:val="20"/>
        </w:rPr>
      </w:pPr>
      <w:bookmarkStart w:id="238" w:name="__RefHeading___Toc6182_1558697229"/>
      <w:bookmarkStart w:id="239" w:name="_Toc185761000"/>
      <w:bookmarkStart w:id="240" w:name="_Toc183443779"/>
      <w:bookmarkStart w:id="241" w:name="_Toc109898987"/>
      <w:bookmarkStart w:id="242" w:name="_Hlk71536649_kopia_1"/>
      <w:bookmarkEnd w:id="238"/>
      <w:bookmarkEnd w:id="242"/>
      <w:r>
        <w:rPr/>
        <w:t>Wykopy</w:t>
      </w:r>
      <w:bookmarkEnd w:id="239"/>
      <w:bookmarkEnd w:id="240"/>
      <w:bookmarkEnd w:id="241"/>
      <w:r>
        <w:rPr/>
        <w:t xml:space="preserve"> </w:t>
      </w:r>
    </w:p>
    <w:p>
      <w:pPr>
        <w:pStyle w:val="GPPOPIS"/>
        <w:rPr/>
      </w:pPr>
      <w:r>
        <w:rPr/>
        <w:t xml:space="preserve">Wykopy powyżej 1,0 m wykonać o ścianach pionowych w pełnym umocnieniu. Natomiast wykopy poniżej 1,0 m należy wykonać jako wykopy skarpowe. Dna wykopów oczyścić i wyprofilować zgodnie ze spadkiem. Pod wszystkie rurociągi podsypka piaskowa grub. 10-20 cm. Zasypka rurociągów piaskiem wykonywana do 30 cm ponad wierzch rury, powyżej zasypanie wykopu gruntem zagęszczanym z zagęszczeniem warstwami co 20 cm. </w:t>
      </w:r>
    </w:p>
    <w:p>
      <w:pPr>
        <w:pStyle w:val="GPPOPIS"/>
        <w:rPr/>
      </w:pPr>
      <w:bookmarkStart w:id="243" w:name="_Hlk98429319"/>
      <w:r>
        <w:rPr/>
        <w:t>Pod drogami zasypkę wykonać zgodnie z projektem drogowym. W obrębie istniejącego uzbrojenia podziemnego roboty ziemne muszą być wykonywane bez użycia sprzętu mechanicznego. Przed przystąpieniem do robót ziemnych należy dokładnie ustalić w terenie lokalizację istniejącego uzbrojenia na podstawie próbnych przekopów przy udziale przedstawicieli poszczególnych instytucji. W miejscach kolizji z istniejącym uzbrojeniem podziemnym wykopy wykonać wyłączenie ręcznie, a napotkane uzbrojenie starannie zabezpieczyć przed uszkodzeniem, przez odeskowanie oraz podwieszenie. O sposobie technologii robót ziemnych decyduje Wykonawca w porozumieniu z Inwestorem i Inspektorem Nadzoru Budowlanego. W przypadku wystąpienia konieczności pompowania wody z wykopów należy rozliczyć koszt zgodnie z dziennikiem pompowań wg rzeczywistego czasu pracy urządzeń. Wykopy należy zabezpieczyć poprzez ustawienie zapór pomalowanych na jaskrawy kolor. W nocy wykopy należy oświetlić. Pozostawienie wykopów nie oznakowanych jest niedopuszczalne. Roboty ziemne wykonać zgodnie z BN-83/8836-02, PN-68/B-06050</w:t>
      </w:r>
      <w:bookmarkEnd w:id="243"/>
      <w:r>
        <w:rPr/>
        <w:t>.</w:t>
      </w:r>
    </w:p>
    <w:p>
      <w:pPr>
        <w:pStyle w:val="GPPPUNKT1"/>
        <w:numPr>
          <w:ilvl w:val="0"/>
          <w:numId w:val="3"/>
        </w:numPr>
        <w:rPr/>
      </w:pPr>
      <w:bookmarkStart w:id="244" w:name="__RefHeading___Toc6184_1558697229"/>
      <w:bookmarkStart w:id="245" w:name="_Toc185761001"/>
      <w:bookmarkStart w:id="246" w:name="_Toc183443780"/>
      <w:bookmarkStart w:id="247" w:name="_Toc476602182"/>
      <w:bookmarkStart w:id="248" w:name="_Toc460834396"/>
      <w:bookmarkStart w:id="249" w:name="_Toc447205595"/>
      <w:bookmarkStart w:id="250" w:name="_Toc436986593"/>
      <w:bookmarkStart w:id="251" w:name="_Toc425246812"/>
      <w:bookmarkStart w:id="252" w:name="_Toc423441265"/>
      <w:bookmarkStart w:id="253" w:name="_Toc390181133"/>
      <w:bookmarkEnd w:id="244"/>
      <w:r>
        <w:rPr/>
        <w:t>Wytyczne do realizacji</w:t>
      </w:r>
      <w:bookmarkEnd w:id="245"/>
      <w:bookmarkEnd w:id="246"/>
      <w:bookmarkEnd w:id="247"/>
      <w:bookmarkEnd w:id="248"/>
      <w:bookmarkEnd w:id="249"/>
      <w:bookmarkEnd w:id="250"/>
      <w:bookmarkEnd w:id="251"/>
      <w:bookmarkEnd w:id="252"/>
      <w:bookmarkEnd w:id="253"/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Roboty prowadzić zgodnie z PB oraz Warunkami Technicznymi Wykonywania i Odbioru Robót Budowlano-Montażowych cz. II. Instalacje sanitarne i przemysłowe.</w:t>
      </w:r>
    </w:p>
    <w:p>
      <w:pPr>
        <w:pStyle w:val="GPPkropka"/>
        <w:numPr>
          <w:ilvl w:val="0"/>
          <w:numId w:val="4"/>
        </w:numPr>
        <w:ind w:hanging="284" w:left="1135"/>
        <w:rPr>
          <w:lang w:eastAsia="ar-SA"/>
        </w:rPr>
      </w:pPr>
      <w:bookmarkStart w:id="254" w:name="_Hlk71537599"/>
      <w:r>
        <w:rPr/>
        <w:t xml:space="preserve">Przed przystąpieniem do robót, trasy projektowanych sieci należy wytyczyć geodezyjne. Oznakować miejsca kolizji projektowanych rurociągów z istniejącymi urządzeniami podziemnymi </w:t>
      </w:r>
      <w:bookmarkEnd w:id="254"/>
    </w:p>
    <w:p>
      <w:pPr>
        <w:pStyle w:val="GPPOPIS"/>
        <w:rPr>
          <w:highlight w:val="yellow"/>
        </w:rPr>
      </w:pPr>
      <w:r>
        <w:rPr>
          <w:highlight w:val="yellow"/>
        </w:rPr>
      </w:r>
      <w:r>
        <w:br w:type="page"/>
      </w:r>
    </w:p>
    <w:p>
      <w:pPr>
        <w:pStyle w:val="GPPCZESCI"/>
        <w:pBdr>
          <w:bottom w:val="single" w:sz="6" w:space="0" w:color="000000"/>
        </w:pBdr>
        <w:spacing w:before="0" w:after="120"/>
        <w:ind w:hanging="0" w:left="142"/>
        <w:rPr/>
      </w:pPr>
      <w:bookmarkStart w:id="255" w:name="__RefHeading___Toc6186_1558697229"/>
      <w:bookmarkStart w:id="256" w:name="_Toc185761002"/>
      <w:bookmarkStart w:id="257" w:name="_Toc476602183_kopia_1"/>
      <w:bookmarkEnd w:id="255"/>
      <w:bookmarkEnd w:id="257"/>
      <w:r>
        <w:rPr/>
        <w:t>INSTALACJE ELEKTRTYCZNE ZEWNĘTRZNE</w:t>
      </w:r>
      <w:bookmarkEnd w:id="256"/>
    </w:p>
    <w:p>
      <w:pPr>
        <w:pStyle w:val="GPPPUNKT1"/>
        <w:numPr>
          <w:ilvl w:val="0"/>
          <w:numId w:val="3"/>
        </w:numPr>
        <w:rPr/>
      </w:pPr>
      <w:bookmarkStart w:id="258" w:name="__RefHeading___Toc6188_1558697229"/>
      <w:bookmarkStart w:id="259" w:name="_Toc185761003"/>
      <w:bookmarkStart w:id="260" w:name="_Toc172631151"/>
      <w:bookmarkStart w:id="261" w:name="_Toc172631005"/>
      <w:bookmarkEnd w:id="258"/>
      <w:r>
        <w:rPr/>
        <w:t>Zakres opracowania</w:t>
      </w:r>
      <w:bookmarkEnd w:id="259"/>
      <w:bookmarkEnd w:id="260"/>
      <w:bookmarkEnd w:id="261"/>
    </w:p>
    <w:p>
      <w:pPr>
        <w:pStyle w:val="GPPOPIS"/>
        <w:rPr/>
      </w:pPr>
      <w:r>
        <w:rPr/>
        <w:t>Przedmiotem niniejszego opracowania jest projekt zewnętrznych instalacji elektrycznych dla budynku wiejskiego centrum kultury.</w:t>
      </w:r>
    </w:p>
    <w:p>
      <w:pPr>
        <w:pStyle w:val="GPPOPIS"/>
        <w:rPr/>
      </w:pPr>
      <w:r>
        <w:rPr/>
        <w:t>Podstawa opracowania: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zlecenie inwestora,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podkłady architektoniczne,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uzgodnienia lokalizacyjne,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obowiązujące przepisy oraz normy, 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 xml:space="preserve">zasady wiedzy technicznej. </w:t>
      </w:r>
    </w:p>
    <w:p>
      <w:pPr>
        <w:pStyle w:val="GPPOPIS"/>
        <w:rPr/>
      </w:pPr>
      <w:r>
        <w:rPr/>
        <w:t>W szczególności zostanie opisany zakres prac: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zasilanie obiektu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sieci zewnętrzne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oświetlenie zewnętrzne</w:t>
      </w:r>
    </w:p>
    <w:p>
      <w:pPr>
        <w:pStyle w:val="GPPkropka"/>
        <w:numPr>
          <w:ilvl w:val="0"/>
          <w:numId w:val="4"/>
        </w:numPr>
        <w:ind w:hanging="284" w:left="1135"/>
        <w:rPr/>
      </w:pPr>
      <w:r>
        <w:rPr/>
        <w:t>ochrona od porażenia prądem.</w:t>
      </w:r>
    </w:p>
    <w:p>
      <w:pPr>
        <w:pStyle w:val="GPPPUNKT1"/>
        <w:numPr>
          <w:ilvl w:val="0"/>
          <w:numId w:val="3"/>
        </w:numPr>
        <w:rPr/>
      </w:pPr>
      <w:bookmarkStart w:id="262" w:name="__RefHeading___Toc6190_1558697229"/>
      <w:bookmarkStart w:id="263" w:name="_Toc185761004"/>
      <w:bookmarkStart w:id="264" w:name="_Toc172631152"/>
      <w:bookmarkStart w:id="265" w:name="_Toc172631006"/>
      <w:bookmarkEnd w:id="262"/>
      <w:r>
        <w:rPr/>
        <w:t>Zasilanie obiektu</w:t>
      </w:r>
      <w:bookmarkEnd w:id="263"/>
      <w:bookmarkEnd w:id="264"/>
      <w:bookmarkEnd w:id="265"/>
    </w:p>
    <w:p>
      <w:pPr>
        <w:pStyle w:val="GPPOPIS"/>
        <w:rPr/>
      </w:pPr>
      <w:r>
        <w:rPr/>
        <w:t xml:space="preserve">Dla potrzeb zasilania obiektu w energię elektryczną przewidziano wewnętrzną linią zasilającą kablową wyprowadzoną z projektowanego wg odrębnego opracowania złącza ZKP zlokalizowanego w granicy działki w kierunku szafki przyłączeniowej SPŁ zlokalizowanej na zewnątrz na elewacji budynku. </w:t>
      </w:r>
    </w:p>
    <w:p>
      <w:pPr>
        <w:pStyle w:val="GPPPUNKT1"/>
        <w:numPr>
          <w:ilvl w:val="0"/>
          <w:numId w:val="3"/>
        </w:numPr>
        <w:rPr/>
      </w:pPr>
      <w:bookmarkStart w:id="266" w:name="__RefHeading___Toc6192_1558697229"/>
      <w:bookmarkStart w:id="267" w:name="_Toc185761005"/>
      <w:bookmarkStart w:id="268" w:name="_Toc172631153"/>
      <w:bookmarkStart w:id="269" w:name="_Toc172631007"/>
      <w:bookmarkEnd w:id="266"/>
      <w:r>
        <w:rPr/>
        <w:t>Sieci zewnętrzne</w:t>
      </w:r>
      <w:bookmarkEnd w:id="267"/>
      <w:bookmarkEnd w:id="268"/>
      <w:bookmarkEnd w:id="269"/>
    </w:p>
    <w:p>
      <w:pPr>
        <w:pStyle w:val="GPPOPIS"/>
        <w:rPr/>
      </w:pPr>
      <w:r>
        <w:rPr/>
        <w:t xml:space="preserve">Głębokość ułożenia kabla w ziemi do zewnętrznej górnej powierzchni kabla powinna wynosić co najmniej </w:t>
      </w:r>
      <w:r>
        <w:rPr>
          <w:b/>
        </w:rPr>
        <w:t>70cm</w:t>
      </w:r>
      <w:r>
        <w:rPr/>
        <w:t>. Kabel nN 0,4kV układać w wykonanym rowie kablowym na warstwie piasku o grubości 10cm i zasypać warstwą piasku grubości 10cm. Następnie kabel przysypać warstwą gruntu rodzimego o grubości 15cm oraz przykryć folią koloru niebieskiego. Grubość foli powinna wynosić co najmniej 0,3mm a krawędzie folii powinny wystawać przynajmniej 50mm poza zewnętrzne krawędzie ułożonego kabla. Odległość pionowa foli od kabla powinna wynosić co najmniej 25 cm i nie więcej niż 35cm. Na folię w wykopie kablowym należy nasypać ziemię rodzimą ubijając ją warstwowo. Na trasie kabli należy założyć przewidziane normą oznaczniki kablowe (wg N SEP-E-004). Kabel w wykopie układać linią falistą z zapasem 4% długości wykopu. Przy skrzyżowaniach projektowanych kabli z innymi instalacjami podziemnymi należy stosować postanowienia norm i obowiązujących przepisów. Odległość pionowa między projektowanymi kablami niskiego napięcia a kablami energetycznymi, kablami telefonicznymi oraz rurociągami podziemnymi powinna wynosić odpowiednio 0,25–0,50m. W przypadku braku możliwości zachowania powyższych odległości, kable w miejscach skrzyżowań należy prowadzić w osłonach rurowych DVK50  ułożonych na całej długości skrzyżowania z zapasem co najmniej po 0,5m po obu stronach. Zaleca się prowadzenie kabla elektrycznego powyżej innych instalacji uzbrojenia terenu.</w:t>
      </w:r>
    </w:p>
    <w:p>
      <w:pPr>
        <w:pStyle w:val="GPPPUNKT1"/>
        <w:numPr>
          <w:ilvl w:val="0"/>
          <w:numId w:val="3"/>
        </w:numPr>
        <w:rPr/>
      </w:pPr>
      <w:bookmarkStart w:id="270" w:name="__RefHeading___Toc6194_1558697229"/>
      <w:bookmarkStart w:id="271" w:name="_Toc185761006"/>
      <w:bookmarkStart w:id="272" w:name="_Toc172631154"/>
      <w:bookmarkStart w:id="273" w:name="_Toc172631008"/>
      <w:bookmarkEnd w:id="270"/>
      <w:r>
        <w:rPr/>
        <w:t>Oświetlenie zewnętrzne</w:t>
      </w:r>
      <w:bookmarkEnd w:id="271"/>
      <w:bookmarkEnd w:id="272"/>
      <w:bookmarkEnd w:id="273"/>
    </w:p>
    <w:p>
      <w:pPr>
        <w:pStyle w:val="GPPOPIS"/>
        <w:rPr/>
      </w:pPr>
      <w:r>
        <w:rPr/>
        <w:t>Instalację oświetlenia terenu zewnętrznego należy wykonać zgodnie z wymogami zawartymi w normie  PN EN 12464-2:2008. Przewiduje się oświetlenie terenu montowane na budynku. Projektowane oświetlenie terenu zewnętrznego wykonać z zastosowaniem opraw oświetleniowych wyposażonych w energooszczędne źród</w:t>
      </w:r>
      <w:r>
        <w:rPr>
          <w:rStyle w:val="GPPOPISZnak"/>
        </w:rPr>
        <w:t>ło LED. Sterowanie oświetleniem zegarem astronomicznym lub ręcznie w rozdzielni głównej RG.</w:t>
      </w:r>
    </w:p>
    <w:p>
      <w:pPr>
        <w:pStyle w:val="GPPOPIS"/>
        <w:rPr/>
      </w:pPr>
      <w:r>
        <w:rPr/>
        <w:t>Szczegółowe rozwiązania dla instalacji oświetlenia terenu zewnętrznego zostaną uwzględnione na etapie projektu technicznego.</w:t>
      </w:r>
    </w:p>
    <w:p>
      <w:pPr>
        <w:pStyle w:val="GPPPUNKT1"/>
        <w:numPr>
          <w:ilvl w:val="0"/>
          <w:numId w:val="3"/>
        </w:numPr>
        <w:rPr/>
      </w:pPr>
      <w:bookmarkStart w:id="274" w:name="__RefHeading___Toc6196_1558697229"/>
      <w:bookmarkStart w:id="275" w:name="_Toc185761007"/>
      <w:bookmarkStart w:id="276" w:name="_Toc172631155"/>
      <w:bookmarkStart w:id="277" w:name="_Toc172631009"/>
      <w:bookmarkEnd w:id="274"/>
      <w:r>
        <w:rPr/>
        <w:t>Ochrona od porażenia prądem elektrycznym w sieci nN</w:t>
      </w:r>
      <w:bookmarkEnd w:id="275"/>
      <w:bookmarkEnd w:id="276"/>
      <w:bookmarkEnd w:id="277"/>
    </w:p>
    <w:p>
      <w:pPr>
        <w:pStyle w:val="GPPOPIS"/>
        <w:rPr/>
      </w:pPr>
      <w:r>
        <w:rPr/>
        <w:t xml:space="preserve">Istniejąca sieć niskiego napięcia pracuje w układzie sieciowym TN-C. Zgodnie z opracowaniem SEP E-001 należy wykonać uziemienie ochronno-robocze. Projektowane uziemienie realizowane jest w postaci bednarki uziemiającej i prętów ocynkowanych. Jako podstawową ochronę od porażeń prądem elektrycznym stosuje się izolację roboczą i ochronną kabli, przewodów i urządzeń. Jako ochronę przeciwporażeniową przy uszkodzeniu dla projektowanego przyłącza należy zastosować samoczynne wyłączanie zasilania realizowane za pomocą bezpieczników topikowych oraz wyłączników nadmiarowo prądowych. Bezpieczeństwo przeciwporażeniowe zapewnia również uziemienie słupa i złącza. . Urządzenie ochronne powinno samoczynnie odłączyć zasilanie obwodu lub urządzenia w taki sposób, aby w następstwie zwarcia miedzy częścią czynną i częścią przewodzącą dostępną Lub przewodem ochronnym tego obwodu, spodziewane napięcie dotykowe przekraczające 50V wartości prądu przemiennego, powinno być wyłączone na tyle szybko, by nie spowodować wystąpienia niebezpiecznych i nieodwracalnych skutków zdrowotnych u człowieka. Uziemienie ochronno-robocze zgodnie z zarządzeniem nie powinno przekroczyć wartości rezystancji 30 Ω. Należy wykonać właściwe badania i pomiary skuteczności ochrony przeciwporażeniowej dla wszystkich urządzeń elektrycznych. Eksploatację urządzeń elektroenergetycznych powierzyć osobom przeszkolonym, posiadającym właściwe kwalifikacje uprawniające do obsługi tych urządzeń. Całość robót musi być wykonana zgodnie z Polskimi Normami i polskimi przepisami oraz zgodnie z wiedzą i sztuką budowlaną. </w:t>
      </w:r>
    </w:p>
    <w:p>
      <w:pPr>
        <w:pStyle w:val="GPPOPIS"/>
        <w:rPr>
          <w:highlight w:val="yellow"/>
        </w:rPr>
      </w:pPr>
      <w:r>
        <w:rPr>
          <w:highlight w:val="yellow"/>
        </w:rPr>
      </w:r>
      <w:r>
        <w:br w:type="page"/>
      </w:r>
    </w:p>
    <w:p>
      <w:pPr>
        <w:pStyle w:val="GPPCZESC2"/>
        <w:numPr>
          <w:ilvl w:val="0"/>
          <w:numId w:val="0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BDBDB" w:themeFill="accent3" w:themeFillTint="66"/>
        <w:spacing w:before="0" w:after="120"/>
        <w:ind w:hanging="0" w:left="142"/>
        <w:rPr/>
      </w:pPr>
      <w:bookmarkStart w:id="278" w:name="__RefHeading___Toc6198_1558697229"/>
      <w:bookmarkStart w:id="279" w:name="_Toc185761008"/>
      <w:bookmarkStart w:id="280" w:name="_Toc52561204_kopia_1"/>
      <w:bookmarkEnd w:id="278"/>
      <w:bookmarkEnd w:id="280"/>
      <w:r>
        <w:rPr/>
        <w:t>DOKUMENTACJA FOTOGRAFICZNA ROZBIERANEGO OBIEKTU</w:t>
      </w:r>
      <w:bookmarkEnd w:id="279"/>
    </w:p>
    <w:p>
      <w:pPr>
        <w:pStyle w:val="Normal"/>
        <w:keepNext w:val="true"/>
        <w:spacing w:lineRule="auto" w:line="259" w:before="0" w:after="160"/>
        <w:ind w:left="0"/>
        <w:rPr/>
      </w:pPr>
      <w:bookmarkStart w:id="281" w:name="__RefHeading___Toc354485021"/>
      <w:bookmarkEnd w:id="281"/>
      <w:r>
        <w:rPr/>
        <w:drawing>
          <wp:inline distT="0" distB="0" distL="0" distR="0">
            <wp:extent cx="5753100" cy="3486150"/>
            <wp:effectExtent l="0" t="0" r="0" b="0"/>
            <wp:docPr id="20" name="Obraz2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21" descr="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 l="0" t="29901" r="0" b="246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3486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1</w:t>
      </w:r>
      <w:r>
        <w:rPr/>
        <w:fldChar w:fldCharType="end"/>
      </w:r>
      <w:r>
        <w:rPr/>
        <w:t xml:space="preserve"> – Elewacja frontowa – południowa obiektu</w:t>
      </w:r>
    </w:p>
    <w:p>
      <w:pPr>
        <w:pStyle w:val="Normal"/>
        <w:keepNext w:val="true"/>
        <w:spacing w:lineRule="auto" w:line="259" w:before="0" w:after="160"/>
        <w:ind w:left="0"/>
        <w:rPr/>
      </w:pPr>
      <w:r>
        <w:rPr/>
      </w:r>
    </w:p>
    <w:p>
      <w:pPr>
        <w:pStyle w:val="Normal"/>
        <w:keepNext w:val="true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43575" cy="3438525"/>
            <wp:effectExtent l="0" t="0" r="0" b="0"/>
            <wp:docPr id="21" name="Obraz 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2" descr="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0" t="7504" r="0" b="1279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4385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2</w:t>
      </w:r>
      <w:r>
        <w:rPr/>
        <w:fldChar w:fldCharType="end"/>
      </w:r>
      <w:r>
        <w:rPr/>
        <w:t xml:space="preserve"> – Elewacja tylna - północna obiektu</w:t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keepNext w:val="true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5743575" cy="3333750"/>
            <wp:effectExtent l="0" t="0" r="0" b="0"/>
            <wp:docPr id="22" name="Obraz 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3" descr="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0" t="7943" r="0" b="14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33337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3</w:t>
      </w:r>
      <w:r>
        <w:rPr/>
        <w:fldChar w:fldCharType="end"/>
      </w:r>
      <w:r>
        <w:rPr/>
        <w:t xml:space="preserve"> – Elewacja lewa – zachodnia obiektu</w:t>
      </w:r>
    </w:p>
    <w:p>
      <w:pPr>
        <w:pStyle w:val="Normal"/>
        <w:rPr/>
      </w:pPr>
      <w:r>
        <w:rPr/>
      </w:r>
    </w:p>
    <w:p>
      <w:pPr>
        <w:pStyle w:val="Normal"/>
        <w:keepNext w:val="true"/>
        <w:rPr/>
      </w:pPr>
      <w:r>
        <w:rPr/>
        <w:drawing>
          <wp:inline distT="0" distB="0" distL="0" distR="0">
            <wp:extent cx="5753100" cy="4705350"/>
            <wp:effectExtent l="0" t="0" r="0" b="0"/>
            <wp:docPr id="23" name="Obraz 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4" descr="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 l="0" t="18486" r="0" b="202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47053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4</w:t>
      </w:r>
      <w:r>
        <w:rPr/>
        <w:fldChar w:fldCharType="end"/>
      </w:r>
      <w:r>
        <w:rPr/>
        <w:t xml:space="preserve"> – Elewacja prawa – wschodnia obiektu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keepNext w:val="true"/>
        <w:rPr/>
      </w:pPr>
      <w:r>
        <w:rPr/>
        <w:drawing>
          <wp:inline distT="0" distB="0" distL="0" distR="0">
            <wp:extent cx="5743575" cy="4314825"/>
            <wp:effectExtent l="0" t="0" r="0" b="0"/>
            <wp:docPr id="24" name="Obraz 5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Obraz 5" descr="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1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5</w:t>
      </w:r>
      <w:r>
        <w:rPr/>
        <w:fldChar w:fldCharType="end"/>
      </w:r>
      <w:r>
        <w:rPr/>
        <w:t xml:space="preserve"> – Przestarzałe instalacje w obrębie elewacji frontowej obiektu. Uszkodzenie tynków. Uszkodzenie drzwi wejściowych.</w:t>
      </w:r>
    </w:p>
    <w:p>
      <w:pPr>
        <w:pStyle w:val="Normal"/>
        <w:keepNext w:val="true"/>
        <w:rPr/>
      </w:pPr>
      <w:r>
        <w:rPr/>
        <w:drawing>
          <wp:inline distT="0" distB="0" distL="0" distR="0">
            <wp:extent cx="5743575" cy="4314825"/>
            <wp:effectExtent l="0" t="0" r="0" b="0"/>
            <wp:docPr id="25" name="Obraz 6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Obraz 6" descr="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3575" cy="43148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6</w:t>
      </w:r>
      <w:r>
        <w:rPr/>
        <w:fldChar w:fldCharType="end"/>
      </w:r>
      <w:r>
        <w:rPr/>
        <w:t xml:space="preserve"> – Strefa wejściowa obiektu – brak dostępności dla osób niepełnosprawnych.</w:t>
      </w:r>
    </w:p>
    <w:p>
      <w:pPr>
        <w:pStyle w:val="Normal"/>
        <w:keepNext w:val="true"/>
        <w:rPr/>
      </w:pPr>
      <w:r>
        <w:rPr/>
        <w:drawing>
          <wp:inline distT="0" distB="0" distL="0" distR="0">
            <wp:extent cx="5753100" cy="7677150"/>
            <wp:effectExtent l="0" t="0" r="0" b="0"/>
            <wp:docPr id="26" name="Obraz 7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Obraz 7" descr="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7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7</w:t>
      </w:r>
      <w:r>
        <w:rPr/>
        <w:fldChar w:fldCharType="end"/>
      </w:r>
      <w:r>
        <w:rPr/>
        <w:t xml:space="preserve"> – Przestarzałe instalacje wewnętrzne.</w:t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spacing w:before="0" w:after="60"/>
        <w:rPr/>
      </w:pPr>
      <w:r>
        <w:rPr/>
      </w:r>
    </w:p>
    <w:p>
      <w:pPr>
        <w:pStyle w:val="Normal"/>
        <w:keepNext w:val="true"/>
        <w:rPr/>
      </w:pPr>
      <w:r>
        <w:rPr/>
        <w:drawing>
          <wp:inline distT="0" distB="0" distL="0" distR="0">
            <wp:extent cx="4657725" cy="6819900"/>
            <wp:effectExtent l="0" t="0" r="0" b="0"/>
            <wp:docPr id="27" name="Obraz 8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Obraz 8" descr="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 l="0" t="17720" r="0" b="14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6819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8</w:t>
      </w:r>
      <w:r>
        <w:rPr/>
        <w:fldChar w:fldCharType="end"/>
      </w:r>
      <w:r>
        <w:rPr/>
        <w:t xml:space="preserve"> – Przestarzałe instalacje wewnętrzne. Zawilgocenie ścian wewnętrznych, uszkodzenie tynku, spękania i wybrzuszenia. </w:t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rPr/>
      </w:pPr>
      <w:r>
        <w:rPr/>
      </w:r>
    </w:p>
    <w:p>
      <w:pPr>
        <w:pStyle w:val="Normal"/>
        <w:spacing w:lineRule="auto" w:line="259" w:before="0" w:after="160"/>
        <w:ind w:left="0"/>
        <w:rPr/>
      </w:pPr>
      <w:r>
        <w:rPr/>
      </w:r>
      <w:r>
        <w:br w:type="page"/>
      </w:r>
    </w:p>
    <w:p>
      <w:pPr>
        <w:pStyle w:val="Normal"/>
        <w:keepNext w:val="true"/>
        <w:spacing w:lineRule="auto" w:line="259" w:before="0" w:after="160"/>
        <w:ind w:left="0"/>
        <w:rPr/>
      </w:pPr>
      <w:r>
        <w:rPr/>
        <w:drawing>
          <wp:inline distT="0" distB="0" distL="0" distR="0">
            <wp:extent cx="4657725" cy="8086725"/>
            <wp:effectExtent l="0" t="0" r="0" b="0"/>
            <wp:docPr id="28" name="Obraz 9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Obraz 9" descr="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 l="0" t="10842" r="0" b="91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8086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9</w:t>
      </w:r>
      <w:r>
        <w:rPr/>
        <w:fldChar w:fldCharType="end"/>
      </w:r>
      <w:r>
        <w:rPr/>
        <w:t xml:space="preserve"> – Spękania i odspojenia tynków wewnętrznych</w:t>
      </w:r>
    </w:p>
    <w:p>
      <w:pPr>
        <w:pStyle w:val="Normal"/>
        <w:spacing w:lineRule="auto" w:line="259" w:before="0" w:after="160"/>
        <w:ind w:left="0"/>
        <w:rPr>
          <w:i/>
          <w:i/>
          <w:iCs/>
          <w:color w:themeColor="text2" w:val="44546A"/>
          <w:szCs w:val="18"/>
        </w:rPr>
      </w:pPr>
      <w:r>
        <w:rPr>
          <w:i/>
          <w:iCs/>
          <w:color w:themeColor="text2" w:val="44546A"/>
          <w:szCs w:val="18"/>
        </w:rPr>
      </w:r>
      <w:r>
        <w:br w:type="page"/>
      </w:r>
    </w:p>
    <w:p>
      <w:pPr>
        <w:pStyle w:val="Caption"/>
        <w:keepNext w:val="true"/>
        <w:spacing w:before="0" w:after="200"/>
        <w:rPr/>
      </w:pPr>
      <w:r>
        <w:rPr/>
        <w:drawing>
          <wp:inline distT="0" distB="0" distL="0" distR="0">
            <wp:extent cx="5753100" cy="7677150"/>
            <wp:effectExtent l="0" t="0" r="0" b="0"/>
            <wp:docPr id="29" name="Obraz 10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Obraz 10" descr="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677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>
      <w:pPr>
        <w:pStyle w:val="Caption"/>
        <w:rPr/>
      </w:pPr>
      <w:r>
        <w:rPr/>
        <w:t xml:space="preserve">Zdjęcie </w:t>
      </w:r>
      <w:r>
        <w:rPr/>
        <w:fldChar w:fldCharType="begin"/>
      </w:r>
      <w:r>
        <w:rPr/>
        <w:instrText xml:space="preserve"> SEQ Zdjęcie \* ARABIC </w:instrText>
      </w:r>
      <w:r>
        <w:rPr/>
        <w:fldChar w:fldCharType="separate"/>
      </w:r>
      <w:r>
        <w:rPr/>
        <w:t>10</w:t>
      </w:r>
      <w:r>
        <w:rPr/>
        <w:fldChar w:fldCharType="end"/>
      </w:r>
      <w:r>
        <w:rPr/>
        <w:t xml:space="preserve"> – Zawilgocenie ścian wewnętrznych. Spękanie i odspojenie tynków wewnętrznych do wysokości 1 m w obrębie strefy wejściowej.</w:t>
      </w:r>
    </w:p>
    <w:p>
      <w:pPr>
        <w:pStyle w:val="Normal"/>
        <w:spacing w:lineRule="auto" w:line="259" w:before="0" w:after="160"/>
        <w:ind w:left="0"/>
        <w:rPr>
          <w:i/>
          <w:i/>
          <w:iCs/>
          <w:color w:themeColor="text2" w:val="44546A"/>
          <w:szCs w:val="18"/>
        </w:rPr>
      </w:pPr>
      <w:r>
        <w:rPr>
          <w:i/>
          <w:iCs/>
          <w:color w:themeColor="text2" w:val="44546A"/>
          <w:szCs w:val="18"/>
        </w:rPr>
      </w:r>
      <w:r>
        <w:br w:type="page"/>
      </w:r>
    </w:p>
    <w:p>
      <w:pPr>
        <w:pStyle w:val="GPPCZESC2"/>
        <w:numPr>
          <w:ilvl w:val="0"/>
          <w:numId w:val="0"/>
        </w:num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shd w:val="clear" w:color="auto" w:fill="DBDBDB" w:themeFill="accent3" w:themeFillTint="66"/>
        <w:spacing w:before="0" w:after="120"/>
        <w:ind w:hanging="0" w:left="142"/>
        <w:rPr/>
      </w:pPr>
      <w:bookmarkStart w:id="282" w:name="__RefHeading___Toc6200_1558697229"/>
      <w:bookmarkStart w:id="283" w:name="_Toc185761009"/>
      <w:bookmarkEnd w:id="282"/>
      <w:r>
        <w:rPr/>
        <w:t>CZĘŚĆ RYSUNKOWA</w:t>
      </w:r>
      <w:bookmarkEnd w:id="283"/>
    </w:p>
    <w:p>
      <w:pPr>
        <w:pStyle w:val="GPPPUNKT1"/>
        <w:numPr>
          <w:ilvl w:val="0"/>
          <w:numId w:val="0"/>
        </w:numPr>
        <w:ind w:hanging="0" w:left="0"/>
        <w:rPr/>
      </w:pPr>
      <w:bookmarkStart w:id="284" w:name="__RefHeading___Toc6202_1558697229"/>
      <w:bookmarkStart w:id="285" w:name="_Toc185761010"/>
      <w:bookmarkEnd w:id="284"/>
      <w:r>
        <w:rPr/>
        <w:t>PB_01_01- Projekt zagospodarowania terenu. skala 1:500</w:t>
      </w:r>
      <w:bookmarkEnd w:id="285"/>
    </w:p>
    <w:p>
      <w:pPr>
        <w:pStyle w:val="GPPPUNKT1"/>
        <w:numPr>
          <w:ilvl w:val="0"/>
          <w:numId w:val="0"/>
        </w:numPr>
        <w:ind w:hanging="0" w:left="0"/>
        <w:rPr/>
      </w:pPr>
      <w:bookmarkStart w:id="286" w:name="__RefHeading___Toc6204_1558697229"/>
      <w:bookmarkStart w:id="287" w:name="_Toc185761011"/>
      <w:bookmarkEnd w:id="286"/>
      <w:r>
        <w:rPr/>
        <w:t>PB_01_02- Zbiornik bezodpływowy. skala 1:25</w:t>
      </w:r>
      <w:bookmarkEnd w:id="287"/>
    </w:p>
    <w:p>
      <w:pPr>
        <w:pStyle w:val="GPPPUNKT1"/>
        <w:numPr>
          <w:ilvl w:val="0"/>
          <w:numId w:val="0"/>
        </w:numPr>
        <w:ind w:hanging="0" w:left="0"/>
        <w:rPr/>
      </w:pPr>
      <w:bookmarkStart w:id="288" w:name="__RefHeading___Toc6206_1558697229"/>
      <w:bookmarkStart w:id="289" w:name="_Toc185761012"/>
      <w:bookmarkEnd w:id="288"/>
      <w:r>
        <w:rPr/>
        <w:t>ROZB_01 – Istniejący budynek przeznaczony do rozbiórki – rzut. skala 1:50</w:t>
      </w:r>
      <w:bookmarkEnd w:id="289"/>
    </w:p>
    <w:p>
      <w:pPr>
        <w:pStyle w:val="GPPPUNKT1"/>
        <w:numPr>
          <w:ilvl w:val="0"/>
          <w:numId w:val="0"/>
        </w:numPr>
        <w:ind w:hanging="0" w:left="0"/>
        <w:rPr/>
      </w:pPr>
      <w:bookmarkStart w:id="290" w:name="__RefHeading___Toc6208_1558697229"/>
      <w:bookmarkStart w:id="291" w:name="_Toc185761013"/>
      <w:bookmarkEnd w:id="290"/>
      <w:r>
        <w:rPr/>
        <w:t>ROZB_02 – Istniejący budynek przeznaczony do rozbiórki – elewacje. skala 1:100</w:t>
      </w:r>
      <w:bookmarkEnd w:id="291"/>
    </w:p>
    <w:p>
      <w:pPr>
        <w:pStyle w:val="Normal"/>
        <w:ind w:left="0"/>
        <w:rPr/>
      </w:pPr>
      <w:r>
        <w:rPr/>
      </w:r>
    </w:p>
    <w:p>
      <w:pPr>
        <w:pStyle w:val="Normal"/>
        <w:spacing w:before="60" w:after="60"/>
        <w:ind w:left="0"/>
        <w:rPr/>
      </w:pPr>
      <w:r>
        <w:rPr/>
      </w:r>
    </w:p>
    <w:sectPr>
      <w:headerReference w:type="even" r:id="rId37"/>
      <w:headerReference w:type="default" r:id="rId38"/>
      <w:headerReference w:type="first" r:id="rId39"/>
      <w:footerReference w:type="even" r:id="rId40"/>
      <w:footerReference w:type="default" r:id="rId41"/>
      <w:footerReference w:type="first" r:id="rId42"/>
      <w:type w:val="nextPage"/>
      <w:pgSz w:w="11906" w:h="16838"/>
      <w:pgMar w:left="851" w:right="851" w:gutter="1134" w:header="709" w:top="766" w:footer="284" w:bottom="454"/>
      <w:pgNumType w:fmt="decimal"/>
      <w:formProt w:val="false"/>
      <w:textDirection w:val="lrTb"/>
      <w:docGrid w:type="default" w:linePitch="100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Calibri">
    <w:charset w:val="ee"/>
    <w:family w:val="roman"/>
    <w:pitch w:val="variable"/>
  </w:font>
  <w:font w:name="Arial">
    <w:charset w:val="ee"/>
    <w:family w:val="swiss"/>
    <w:pitch w:val="variable"/>
  </w:font>
  <w:font w:name="Calibri Light">
    <w:charset w:val="ee"/>
    <w:family w:val="swiss"/>
    <w:pitch w:val="variable"/>
  </w:font>
  <w:font w:name="Segoe UI">
    <w:charset w:val="ee"/>
    <w:family w:val="swiss"/>
    <w:pitch w:val="variable"/>
  </w:font>
  <w:font w:name="Liberation Sans">
    <w:altName w:val="Arial"/>
    <w:charset w:val="ee"/>
    <w:family w:val="swiss"/>
    <w:pitch w:val="variable"/>
  </w:font>
  <w:font w:name="Calibri">
    <w:charset w:val="01"/>
    <w:family w:val="swiss"/>
    <w:pitch w:val="variable"/>
  </w:font>
  <w:font w:name="Wingdings">
    <w:charset w:val="02"/>
    <w:family w:val="auto"/>
    <w:pitch w:val="variable"/>
  </w:font>
  <w:font w:name="Courier New">
    <w:charset w:val="01"/>
    <w:family w:val="modern"/>
    <w:pitch w:val="fixed"/>
  </w:font>
</w:fonts>
</file>

<file path=word/footer1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Footer"/>
      <w:spacing w:before="60" w:after="0"/>
      <w:rPr/>
    </w:pPr>
    <w:r>
      <w:rPr/>
    </w:r>
  </w:p>
</w:ftr>
</file>

<file path=word/footer2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Spacing"/>
      <w:pBdr>
        <w:top w:val="single" w:sz="6" w:space="1" w:color="000000" w:themeColor="dark1"/>
      </w:pBdr>
      <w:rPr>
        <w:b w:val="false"/>
        <w:bCs w:val="false"/>
      </w:rPr>
    </w:pPr>
    <w:r>
      <w:rPr>
        <w:b w:val="false"/>
        <w:bCs w:val="false"/>
      </w:rPr>
      <w:t xml:space="preserve">- </w:t>
    </w:r>
    <w:r>
      <w:rPr>
        <w:b w:val="false"/>
        <w:bCs w:val="false"/>
      </w:rPr>
      <w:fldChar w:fldCharType="begin"/>
    </w:r>
    <w:r>
      <w:rPr>
        <w:b w:val="false"/>
        <w:bCs w:val="false"/>
      </w:rPr>
      <w:instrText xml:space="preserve"> PAGE </w:instrText>
    </w:r>
    <w:r>
      <w:rPr>
        <w:b w:val="false"/>
        <w:bCs w:val="false"/>
      </w:rPr>
      <w:fldChar w:fldCharType="separate"/>
    </w:r>
    <w:r>
      <w:rPr>
        <w:b w:val="false"/>
        <w:bCs w:val="false"/>
      </w:rPr>
      <w:t>1</w:t>
    </w:r>
    <w:r>
      <w:rPr>
        <w:b w:val="false"/>
        <w:bCs w:val="false"/>
      </w:rPr>
      <w:fldChar w:fldCharType="end"/>
    </w:r>
    <w:r>
      <w:rPr>
        <w:b w:val="false"/>
        <w:bCs w:val="false"/>
      </w:rPr>
      <w:t xml:space="preserve"> -</w:t>
    </w:r>
  </w:p>
</w:ftr>
</file>

<file path=word/footer3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Spacing"/>
      <w:pBdr>
        <w:top w:val="single" w:sz="6" w:space="1" w:color="000000" w:themeColor="dark1"/>
      </w:pBdr>
      <w:rPr>
        <w:b w:val="false"/>
        <w:bCs w:val="false"/>
      </w:rPr>
    </w:pPr>
    <w:r>
      <w:rPr>
        <w:b w:val="false"/>
        <w:bCs w:val="false"/>
      </w:rPr>
      <w:t xml:space="preserve">- </w:t>
    </w:r>
    <w:r>
      <w:rPr>
        <w:b w:val="false"/>
        <w:bCs w:val="false"/>
      </w:rPr>
      <w:fldChar w:fldCharType="begin"/>
    </w:r>
    <w:r>
      <w:rPr>
        <w:b w:val="false"/>
        <w:bCs w:val="false"/>
      </w:rPr>
      <w:instrText xml:space="preserve"> PAGE </w:instrText>
    </w:r>
    <w:r>
      <w:rPr>
        <w:b w:val="false"/>
        <w:bCs w:val="false"/>
      </w:rPr>
      <w:fldChar w:fldCharType="separate"/>
    </w:r>
    <w:r>
      <w:rPr>
        <w:b w:val="false"/>
        <w:bCs w:val="false"/>
      </w:rPr>
      <w:t>1</w:t>
    </w:r>
    <w:r>
      <w:rPr>
        <w:b w:val="false"/>
        <w:bCs w:val="false"/>
      </w:rPr>
      <w:fldChar w:fldCharType="end"/>
    </w:r>
    <w:r>
      <w:rPr>
        <w:b w:val="false"/>
        <w:bCs w:val="false"/>
      </w:rPr>
      <w:t xml:space="preserve"> -</w:t>
    </w:r>
  </w:p>
</w:ftr>
</file>

<file path=word/footer4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lineRule="auto" w:line="240" w:before="60" w:after="60"/>
      <w:ind w:left="227"/>
      <w:jc w:val="left"/>
      <w:rPr/>
    </w:pPr>
    <w:r>
      <w:rPr/>
    </w:r>
  </w:p>
  <w:p>
    <w:pPr>
      <w:pStyle w:val="Normal"/>
      <w:widowControl/>
      <w:bidi w:val="0"/>
      <w:spacing w:lineRule="auto" w:line="240" w:before="60" w:after="60"/>
      <w:ind w:left="227"/>
      <w:jc w:val="left"/>
      <w:rPr/>
    </w:pPr>
    <w:r>
      <w:rPr/>
    </w:r>
  </w:p>
</w:ftr>
</file>

<file path=word/footer5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Spacing"/>
      <w:pBdr>
        <w:top w:val="single" w:sz="6" w:space="1" w:color="000000"/>
      </w:pBdr>
      <w:rPr/>
    </w:pPr>
    <w:r>
      <w:rPr>
        <w:b w:val="false"/>
        <w:bCs w:val="false"/>
      </w:rPr>
      <w:t xml:space="preserve">- </w:t>
    </w:r>
    <w:r>
      <w:rPr>
        <w:b w:val="false"/>
        <w:bCs w:val="false"/>
      </w:rPr>
      <w:fldChar w:fldCharType="begin"/>
    </w:r>
    <w:r>
      <w:rPr>
        <w:b w:val="false"/>
        <w:bCs w:val="false"/>
      </w:rPr>
      <w:instrText xml:space="preserve"> PAGE </w:instrText>
    </w:r>
    <w:r>
      <w:rPr>
        <w:b w:val="false"/>
        <w:bCs w:val="false"/>
      </w:rPr>
      <w:fldChar w:fldCharType="separate"/>
    </w:r>
    <w:r>
      <w:rPr>
        <w:b w:val="false"/>
        <w:bCs w:val="false"/>
      </w:rPr>
      <w:t>35</w:t>
    </w:r>
    <w:r>
      <w:rPr>
        <w:b w:val="false"/>
        <w:bCs w:val="false"/>
      </w:rPr>
      <w:fldChar w:fldCharType="end"/>
    </w:r>
    <w:r>
      <w:rPr>
        <w:b w:val="false"/>
        <w:bCs w:val="false"/>
      </w:rPr>
      <w:t xml:space="preserve"> -</w:t>
    </w:r>
  </w:p>
</w:ftr>
</file>

<file path=word/footer6.xml><?xml version="1.0" encoding="utf-8"?>
<w:ft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Spacing"/>
      <w:pBdr>
        <w:top w:val="single" w:sz="6" w:space="1" w:color="000000"/>
      </w:pBdr>
      <w:rPr/>
    </w:pPr>
    <w:r>
      <w:rPr>
        <w:b w:val="false"/>
        <w:bCs w:val="false"/>
      </w:rPr>
      <w:t xml:space="preserve">- </w:t>
    </w:r>
    <w:r>
      <w:rPr>
        <w:b w:val="false"/>
        <w:bCs w:val="false"/>
      </w:rPr>
      <w:fldChar w:fldCharType="begin"/>
    </w:r>
    <w:r>
      <w:rPr>
        <w:b w:val="false"/>
        <w:bCs w:val="false"/>
      </w:rPr>
      <w:instrText xml:space="preserve"> PAGE </w:instrText>
    </w:r>
    <w:r>
      <w:rPr>
        <w:b w:val="false"/>
        <w:bCs w:val="false"/>
      </w:rPr>
      <w:fldChar w:fldCharType="separate"/>
    </w:r>
    <w:r>
      <w:rPr>
        <w:b w:val="false"/>
        <w:bCs w:val="false"/>
      </w:rPr>
      <w:t>35</w:t>
    </w:r>
    <w:r>
      <w:rPr>
        <w:b w:val="false"/>
        <w:bCs w:val="false"/>
      </w:rPr>
      <w:fldChar w:fldCharType="end"/>
    </w:r>
    <w:r>
      <w:rPr>
        <w:b w:val="false"/>
        <w:bCs w:val="false"/>
      </w:rPr>
      <w:t xml:space="preserve"> -</w:t>
    </w:r>
  </w:p>
</w:ftr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Header"/>
      <w:spacing w:before="60" w:after="0"/>
      <w:rPr/>
    </w:pPr>
    <w:r>
      <w:rPr/>
    </w:r>
  </w:p>
</w:hdr>
</file>

<file path=word/header2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318" w:type="dxa"/>
      <w:jc w:val="left"/>
      <w:tblInd w:w="0" w:type="dxa"/>
      <w:tblLayout w:type="fixed"/>
      <w:tblCellMar>
        <w:top w:w="0" w:type="dxa"/>
        <w:left w:w="0" w:type="dxa"/>
        <w:bottom w:w="0" w:type="dxa"/>
        <w:right w:w="0" w:type="dxa"/>
      </w:tblCellMar>
      <w:tblLook w:firstRow="0" w:noVBand="0" w:lastRow="0" w:firstColumn="0" w:lastColumn="0" w:noHBand="0" w:val="0000"/>
    </w:tblPr>
    <w:tblGrid>
      <w:gridCol w:w="7971"/>
      <w:gridCol w:w="1346"/>
    </w:tblGrid>
    <w:tr>
      <w:trPr>
        <w:trHeight w:val="567" w:hRule="atLeast"/>
      </w:trPr>
      <w:tc>
        <w:tcPr>
          <w:tcW w:w="7971" w:type="dxa"/>
          <w:tcBorders>
            <w:bottom w:val="single" w:sz="4" w:space="0" w:color="000000"/>
          </w:tcBorders>
        </w:tcPr>
        <w:p>
          <w:pPr>
            <w:pStyle w:val="Normal"/>
            <w:spacing w:before="60" w:after="0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</w:tc>
      <w:tc>
        <w:tcPr>
          <w:tcW w:w="1346" w:type="dxa"/>
          <w:tcBorders>
            <w:bottom w:val="single" w:sz="4" w:space="0" w:color="000000"/>
          </w:tcBorders>
        </w:tcPr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ascii="Calibri Light" w:hAnsi="Calibri Light" w:asciiTheme="majorHAnsi" w:cstheme="majorHAnsi" w:hAnsiTheme="majorHAnsi"/>
              <w:szCs w:val="18"/>
            </w:rPr>
            <w:t>PZT</w:t>
          </w:r>
          <w:bookmarkStart w:id="10" w:name="_Hlk117257706"/>
          <w:bookmarkEnd w:id="10"/>
        </w:p>
      </w:tc>
    </w:tr>
  </w:tbl>
  <w:p>
    <w:pPr>
      <w:pStyle w:val="Header"/>
      <w:rPr/>
    </w:pPr>
    <w:r>
      <w:rPr/>
    </w:r>
  </w:p>
</w:hdr>
</file>

<file path=word/header3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318" w:type="dxa"/>
      <w:jc w:val="left"/>
      <w:tblInd w:w="0" w:type="dxa"/>
      <w:tblLayout w:type="fixed"/>
      <w:tblCellMar>
        <w:top w:w="0" w:type="dxa"/>
        <w:left w:w="0" w:type="dxa"/>
        <w:bottom w:w="0" w:type="dxa"/>
        <w:right w:w="0" w:type="dxa"/>
      </w:tblCellMar>
      <w:tblLook w:firstRow="0" w:noVBand="0" w:lastRow="0" w:firstColumn="0" w:lastColumn="0" w:noHBand="0" w:val="0000"/>
    </w:tblPr>
    <w:tblGrid>
      <w:gridCol w:w="7971"/>
      <w:gridCol w:w="1346"/>
    </w:tblGrid>
    <w:tr>
      <w:trPr>
        <w:trHeight w:val="567" w:hRule="atLeast"/>
      </w:trPr>
      <w:tc>
        <w:tcPr>
          <w:tcW w:w="7971" w:type="dxa"/>
          <w:tcBorders>
            <w:bottom w:val="single" w:sz="4" w:space="0" w:color="000000"/>
          </w:tcBorders>
        </w:tcPr>
        <w:p>
          <w:pPr>
            <w:pStyle w:val="Normal"/>
            <w:spacing w:before="60" w:after="0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</w:tc>
      <w:tc>
        <w:tcPr>
          <w:tcW w:w="1346" w:type="dxa"/>
          <w:tcBorders>
            <w:bottom w:val="single" w:sz="4" w:space="0" w:color="000000"/>
          </w:tcBorders>
        </w:tcPr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ascii="Calibri Light" w:hAnsi="Calibri Light" w:asciiTheme="majorHAnsi" w:cstheme="majorHAnsi" w:hAnsiTheme="majorHAnsi"/>
              <w:szCs w:val="18"/>
            </w:rPr>
            <w:t>PZT</w:t>
          </w:r>
          <w:bookmarkStart w:id="11" w:name="_Hlk117257706"/>
          <w:bookmarkEnd w:id="11"/>
        </w:p>
      </w:tc>
    </w:tr>
  </w:tbl>
  <w:p>
    <w:pPr>
      <w:pStyle w:val="Header"/>
      <w:rPr/>
    </w:pPr>
    <w:r>
      <w:rPr/>
    </w:r>
  </w:p>
</w:hdr>
</file>

<file path=word/header4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p>
    <w:pPr>
      <w:pStyle w:val="Normal"/>
      <w:widowControl/>
      <w:bidi w:val="0"/>
      <w:spacing w:lineRule="auto" w:line="240" w:before="60" w:after="60"/>
      <w:ind w:left="227"/>
      <w:jc w:val="left"/>
      <w:rPr/>
    </w:pPr>
    <w:r>
      <w:rPr/>
    </w:r>
  </w:p>
  <w:p>
    <w:pPr>
      <w:pStyle w:val="Normal"/>
      <w:widowControl/>
      <w:bidi w:val="0"/>
      <w:spacing w:lineRule="auto" w:line="240" w:before="60" w:after="60"/>
      <w:ind w:left="227"/>
      <w:jc w:val="left"/>
      <w:rPr/>
    </w:pPr>
    <w:r>
      <w:rPr/>
    </w:r>
  </w:p>
</w:hdr>
</file>

<file path=word/header5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129" w:type="dxa"/>
      <w:jc w:val="left"/>
      <w:tblInd w:w="0" w:type="dxa"/>
      <w:tblLayout w:type="fixed"/>
      <w:tblCellMar>
        <w:top w:w="0" w:type="dxa"/>
        <w:left w:w="0" w:type="dxa"/>
        <w:bottom w:w="0" w:type="dxa"/>
        <w:right w:w="0" w:type="dxa"/>
      </w:tblCellMar>
      <w:tblLook w:firstRow="0" w:noVBand="0" w:lastRow="0" w:firstColumn="0" w:lastColumn="0" w:noHBand="0" w:val="0000"/>
    </w:tblPr>
    <w:tblGrid>
      <w:gridCol w:w="6917"/>
      <w:gridCol w:w="2211"/>
    </w:tblGrid>
    <w:tr>
      <w:trPr>
        <w:trHeight w:val="544" w:hRule="atLeast"/>
      </w:trPr>
      <w:tc>
        <w:tcPr>
          <w:tcW w:w="6917" w:type="dxa"/>
          <w:tcBorders>
            <w:bottom w:val="single" w:sz="4" w:space="0" w:color="000000"/>
          </w:tcBorders>
        </w:tcPr>
        <w:p>
          <w:pPr>
            <w:pStyle w:val="Normal"/>
            <w:spacing w:before="60" w:after="0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</w:tc>
      <w:tc>
        <w:tcPr>
          <w:tcW w:w="2211" w:type="dxa"/>
          <w:tcBorders>
            <w:bottom w:val="single" w:sz="4" w:space="0" w:color="000000"/>
          </w:tcBorders>
        </w:tcPr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ascii="Calibri Light" w:hAnsi="Calibri Light" w:asciiTheme="majorHAnsi" w:cstheme="majorHAnsi" w:hAnsiTheme="majorHAnsi"/>
              <w:szCs w:val="18"/>
            </w:rPr>
            <w:t>PZT</w:t>
          </w:r>
        </w:p>
      </w:tc>
    </w:tr>
  </w:tbl>
  <w:p>
    <w:pPr>
      <w:pStyle w:val="Header"/>
      <w:ind w:left="0"/>
      <w:rPr/>
    </w:pPr>
    <w:r>
      <w:rPr/>
    </w:r>
  </w:p>
</w:hdr>
</file>

<file path=word/header6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pic="http://schemas.openxmlformats.org/drawingml/2006/picture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tbl>
    <w:tblPr>
      <w:tblW w:w="9129" w:type="dxa"/>
      <w:jc w:val="left"/>
      <w:tblInd w:w="0" w:type="dxa"/>
      <w:tblLayout w:type="fixed"/>
      <w:tblCellMar>
        <w:top w:w="0" w:type="dxa"/>
        <w:left w:w="0" w:type="dxa"/>
        <w:bottom w:w="0" w:type="dxa"/>
        <w:right w:w="0" w:type="dxa"/>
      </w:tblCellMar>
      <w:tblLook w:firstRow="0" w:noVBand="0" w:lastRow="0" w:firstColumn="0" w:lastColumn="0" w:noHBand="0" w:val="0000"/>
    </w:tblPr>
    <w:tblGrid>
      <w:gridCol w:w="6917"/>
      <w:gridCol w:w="2211"/>
    </w:tblGrid>
    <w:tr>
      <w:trPr>
        <w:trHeight w:val="544" w:hRule="atLeast"/>
      </w:trPr>
      <w:tc>
        <w:tcPr>
          <w:tcW w:w="6917" w:type="dxa"/>
          <w:tcBorders>
            <w:bottom w:val="single" w:sz="4" w:space="0" w:color="000000"/>
          </w:tcBorders>
        </w:tcPr>
        <w:p>
          <w:pPr>
            <w:pStyle w:val="Normal"/>
            <w:spacing w:before="60" w:after="0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</w:tc>
      <w:tc>
        <w:tcPr>
          <w:tcW w:w="2211" w:type="dxa"/>
          <w:tcBorders>
            <w:bottom w:val="single" w:sz="4" w:space="0" w:color="000000"/>
          </w:tcBorders>
        </w:tcPr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cstheme="majorHAnsi" w:ascii="Calibri Light" w:hAnsi="Calibri Light"/>
              <w:szCs w:val="18"/>
            </w:rPr>
          </w:r>
        </w:p>
        <w:p>
          <w:pPr>
            <w:pStyle w:val="Normal"/>
            <w:widowControl w:val="false"/>
            <w:spacing w:before="60" w:after="0"/>
            <w:jc w:val="right"/>
            <w:rPr>
              <w:rFonts w:ascii="Calibri Light" w:hAnsi="Calibri Light" w:cs="Calibri Light" w:asciiTheme="majorHAnsi" w:cstheme="majorHAnsi" w:hAnsiTheme="majorHAnsi"/>
              <w:szCs w:val="18"/>
            </w:rPr>
          </w:pPr>
          <w:r>
            <w:rPr>
              <w:rFonts w:cs="Calibri Light" w:ascii="Calibri Light" w:hAnsi="Calibri Light" w:asciiTheme="majorHAnsi" w:cstheme="majorHAnsi" w:hAnsiTheme="majorHAnsi"/>
              <w:szCs w:val="18"/>
            </w:rPr>
            <w:t>PZT</w:t>
          </w:r>
        </w:p>
      </w:tc>
    </w:tr>
  </w:tbl>
  <w:p>
    <w:pPr>
      <w:pStyle w:val="Header"/>
      <w:ind w:left="0"/>
      <w:rPr/>
    </w:pPr>
    <w:r>
      <w:rPr/>
    </w:r>
  </w:p>
</w:hdr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upperLetter"/>
      <w:lvlText w:val="%1."/>
      <w:lvlJc w:val="left"/>
      <w:pPr>
        <w:tabs>
          <w:tab w:val="num" w:pos="0"/>
        </w:tabs>
        <w:ind w:left="720" w:hanging="360"/>
      </w:pPr>
      <w:rPr>
        <w:smallCaps w:val="false"/>
        <w:caps w:val="false"/>
        <w:outline w:val="false"/>
        <w:dstrike w:val="false"/>
        <w:strike w:val="false"/>
        <w:vertAlign w:val="baseline"/>
        <w:position w:val="0"/>
        <w:sz w:val="22"/>
        <w:sz w:val="22"/>
        <w:spacing w:val="0"/>
        <w:i w:val="false"/>
        <w:shadow w:val="false"/>
        <w:u w:val="none"/>
        <w:b w:val="false"/>
        <w:kern w:val="0"/>
        <w:effect w:val="none"/>
        <w:iCs w:val="false"/>
        <w:bCs w:val="false"/>
        <w:em w:val="none"/>
        <w:emboss w:val="false"/>
        <w:imprint w:val="false"/>
        <w:vanish w:val="false"/>
        <w14:cntxtAlts>
          <w14:cntxtAlts/>
        </w14:cntxtAlts>
        <w14:glow w14:rad="0">
          <w14:srgbClr w14:val="000000"/>
        </w14:glow>
        <w14:ligatures w14:val="none"/>
        <w14:numForm w14:val="default"/>
        <w14:numSpacing w14:val="default"/>
        <w14:props3d w14:extrusionH="0" w14:contourW="0" w14:prstMaterial="none"/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shadow w14:blurRad="0" w14:dist="0" w14:dir="0" w14:sx="0" w14:sy="0" w14:kx="0" w14:ky="0" w14:algn="none">
          <w14:srgbClr w14:val="000000"/>
        </w14:shadow>
        <w14:stylisticSets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2">
    <w:lvl w:ilvl="0">
      <w:start w:val="1"/>
      <w:numFmt w:val="upperRoman"/>
      <w:lvlText w:val="%1."/>
      <w:lvlJc w:val="right"/>
      <w:pPr>
        <w:tabs>
          <w:tab w:val="num" w:pos="0"/>
        </w:tabs>
        <w:ind w:left="720" w:hanging="360"/>
      </w:pPr>
      <w:rPr>
        <w:smallCaps w:val="false"/>
        <w:caps w:val="false"/>
        <w:outline w:val="false"/>
        <w:dstrike w:val="false"/>
        <w:strike w:val="false"/>
        <w:vertAlign w:val="baseline"/>
        <w:position w:val="0"/>
        <w:sz w:val="22"/>
        <w:sz w:val="22"/>
        <w:spacing w:val="0"/>
        <w:i w:val="false"/>
        <w:shadow w:val="false"/>
        <w:u w:val="none"/>
        <w:b w:val="false"/>
        <w:kern w:val="0"/>
        <w:effect w:val="none"/>
        <w:iCs w:val="false"/>
        <w:bCs w:val="false"/>
        <w:em w:val="none"/>
        <w:emboss w:val="false"/>
        <w:imprint w:val="false"/>
        <w:vanish w:val="false"/>
        <w14:cntxtAlts>
          <w14:cntxtAlts/>
        </w14:cntxtAlts>
        <w14:glow w14:rad="0">
          <w14:srgbClr w14:val="000000"/>
        </w14:glow>
        <w14:ligatures w14:val="none"/>
        <w14:numForm w14:val="default"/>
        <w14:numSpacing w14:val="default"/>
        <w14:props3d w14:extrusionH="0" w14:contourW="0" w14:prstMaterial="none"/>
        <w14:reflection w14:blurRad="0" w14:stA="0" w14:stPos="0" w14:endA="0" w14:endPos="0" w14:dist="0" w14:dir="0" w14:fadeDir="0" w14:sx="0" w14:sy="0" w14:kx="0" w14:ky="0" w14:algn="none"/>
        <w14:scene3d>
          <w14:camera w14:prst="orthographicFront"/>
          <w14:lightRig w14:rig="threePt" w14:dir="t">
            <w14:rot w14:lat="0" w14:lon="0" w14:rev="0"/>
          </w14:lightRig>
        </w14:scene3d>
        <w14:shadow w14:blurRad="0" w14:dist="0" w14:dir="0" w14:sx="0" w14:sy="0" w14:kx="0" w14:ky="0" w14:algn="none">
          <w14:srgbClr w14:val="000000"/>
        </w14:shadow>
        <w14:stylisticSets/>
        <w14:textOutline w14:w="0" w14:cap="rnd" w14:cmpd="sng" w14:algn="ctr">
          <w14:noFill/>
          <w14:prstDash w14:val="solid"/>
          <w14:bevel/>
        </w14:textOutline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3"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/>
    </w:lvl>
    <w:lvl w:ilvl="1">
      <w:start w:val="1"/>
      <w:isLgl/>
      <w:numFmt w:val="decimal"/>
      <w:lvlText w:val="%1.%2."/>
      <w:lvlJc w:val="left"/>
      <w:pPr>
        <w:tabs>
          <w:tab w:val="num" w:pos="0"/>
        </w:tabs>
        <w:ind w:left="1210" w:hanging="360"/>
      </w:pPr>
      <w:rPr/>
    </w:lvl>
    <w:lvl w:ilvl="2">
      <w:start w:val="1"/>
      <w:isLgl/>
      <w:numFmt w:val="decimal"/>
      <w:lvlText w:val="%1.%2.%3."/>
      <w:lvlJc w:val="left"/>
      <w:pPr>
        <w:tabs>
          <w:tab w:val="num" w:pos="0"/>
        </w:tabs>
        <w:ind w:left="1080" w:hanging="720"/>
      </w:pPr>
      <w:rPr/>
    </w:lvl>
    <w:lvl w:ilvl="3">
      <w:start w:val="1"/>
      <w:isLgl/>
      <w:numFmt w:val="decimal"/>
      <w:lvlText w:val="%1.%2.%3.%4."/>
      <w:lvlJc w:val="left"/>
      <w:pPr>
        <w:tabs>
          <w:tab w:val="num" w:pos="0"/>
        </w:tabs>
        <w:ind w:left="1080" w:hanging="720"/>
      </w:pPr>
      <w:rPr/>
    </w:lvl>
    <w:lvl w:ilvl="4">
      <w:start w:val="1"/>
      <w:isLgl/>
      <w:numFmt w:val="decimal"/>
      <w:lvlText w:val="%1.%2.%3.%4.%5."/>
      <w:lvlJc w:val="left"/>
      <w:pPr>
        <w:tabs>
          <w:tab w:val="num" w:pos="0"/>
        </w:tabs>
        <w:ind w:left="1440" w:hanging="1080"/>
      </w:pPr>
      <w:rPr/>
    </w:lvl>
    <w:lvl w:ilvl="5">
      <w:start w:val="1"/>
      <w:isLgl/>
      <w:numFmt w:val="decimal"/>
      <w:lvlText w:val="%1.%2.%3.%4.%5.%6."/>
      <w:lvlJc w:val="left"/>
      <w:pPr>
        <w:tabs>
          <w:tab w:val="num" w:pos="0"/>
        </w:tabs>
        <w:ind w:left="1440" w:hanging="1080"/>
      </w:pPr>
      <w:rPr/>
    </w:lvl>
    <w:lvl w:ilvl="6">
      <w:start w:val="1"/>
      <w:isLgl/>
      <w:numFmt w:val="decimal"/>
      <w:lvlText w:val="%1.%2.%3.%4.%5.%6.%7."/>
      <w:lvlJc w:val="left"/>
      <w:pPr>
        <w:tabs>
          <w:tab w:val="num" w:pos="0"/>
        </w:tabs>
        <w:ind w:left="1440" w:hanging="1080"/>
      </w:pPr>
      <w:rPr/>
    </w:lvl>
    <w:lvl w:ilvl="7">
      <w:start w:val="1"/>
      <w:isLgl/>
      <w:numFmt w:val="decimal"/>
      <w:lvlText w:val="%1.%2.%3.%4.%5.%6.%7.%8."/>
      <w:lvlJc w:val="left"/>
      <w:pPr>
        <w:tabs>
          <w:tab w:val="num" w:pos="0"/>
        </w:tabs>
        <w:ind w:left="1800" w:hanging="1440"/>
      </w:pPr>
      <w:rPr/>
    </w:lvl>
    <w:lvl w:ilvl="8">
      <w:start w:val="1"/>
      <w:isLgl/>
      <w:numFmt w:val="decimal"/>
      <w:lvlText w:val="%1.%2.%3.%4.%5.%6.%7.%8.%9."/>
      <w:lvlJc w:val="left"/>
      <w:pPr>
        <w:tabs>
          <w:tab w:val="num" w:pos="0"/>
        </w:tabs>
        <w:ind w:left="1800" w:hanging="1440"/>
      </w:pPr>
      <w:rPr/>
    </w:lvl>
  </w:abstractNum>
  <w:abstractNum w:abstractNumId="4"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0"/>
      <w:numFmt w:val="bullet"/>
      <w:lvlText w:val="•"/>
      <w:lvlJc w:val="left"/>
      <w:pPr>
        <w:tabs>
          <w:tab w:val="num" w:pos="0"/>
        </w:tabs>
        <w:ind w:left="1440" w:hanging="360"/>
      </w:pPr>
      <w:rPr>
        <w:rFonts w:ascii="Calibri" w:hAnsi="Calibri" w:cs="Calibri" w:hint="default"/>
        <w:rFonts w:eastAsiaTheme="minorHAnsi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5">
    <w:lvl w:ilvl="0">
      <w:start w:val="1"/>
      <w:numFmt w:val="decimal"/>
      <w:lvlText w:val="%1."/>
      <w:lvlJc w:val="left"/>
      <w:pPr>
        <w:tabs>
          <w:tab w:val="num" w:pos="0"/>
        </w:tabs>
        <w:ind w:left="567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287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007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727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447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167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4887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607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327" w:hanging="180"/>
      </w:pPr>
      <w:rPr/>
    </w:lvl>
  </w:abstractNum>
  <w:abstractNum w:abstractNumId="6"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7">
    <w:lvl w:ilvl="0">
      <w:start w:val="1"/>
      <w:numFmt w:val="lowerLetter"/>
      <w:lvlText w:val="%1)"/>
      <w:lvlJc w:val="left"/>
      <w:pPr>
        <w:tabs>
          <w:tab w:val="num" w:pos="0"/>
        </w:tabs>
        <w:ind w:left="720" w:hanging="360"/>
      </w:pPr>
      <w:rPr/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/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  <w:rPr/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  <w:rPr/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  <w:rPr/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  <w:rPr/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  <w:rPr/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  <w:rPr/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  <w:rPr/>
    </w:lvl>
  </w:abstractNum>
  <w:abstractNum w:abstractNumId="8">
    <w:lvl w:ilvl="0">
      <w:start w:val="1"/>
      <w:numFmt w:val="bullet"/>
      <w:lvlText w:val=""/>
      <w:lvlJc w:val="left"/>
      <w:pPr>
        <w:tabs>
          <w:tab w:val="num" w:pos="0"/>
        </w:tabs>
        <w:ind w:left="1335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55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75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95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215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935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55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75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95" w:hanging="360"/>
      </w:pPr>
      <w:rPr>
        <w:rFonts w:ascii="Wingdings" w:hAnsi="Wingdings" w:cs="Wingdings" w:hint="default"/>
      </w:rPr>
    </w:lvl>
  </w:abstractNum>
  <w:abstractNum w:abstractNumId="9">
    <w:lvl w:ilvl="0">
      <w:start w:val="1"/>
      <w:numFmt w:val="bullet"/>
      <w:lvlText w:val=""/>
      <w:lvlJc w:val="left"/>
      <w:pPr>
        <w:tabs>
          <w:tab w:val="num" w:pos="0"/>
        </w:tabs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2007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7047" w:hanging="360"/>
      </w:pPr>
      <w:rPr>
        <w:rFonts w:ascii="Wingdings" w:hAnsi="Wingdings" w:cs="Wingdings" w:hint="default"/>
      </w:rPr>
    </w:lvl>
  </w:abstractNum>
  <w:abstractNum w:abstractNumId="10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</w:numbering>
</file>

<file path=word/settings.xml><?xml version="1.0" encoding="utf-8"?>
<w:settings xmlns:w="http://schemas.openxmlformats.org/wordprocessingml/2006/main">
  <w:zoom w:percent="80"/>
  <w:mirrorMargins/>
  <w:defaultTabStop w:val="708"/>
  <w:autoHyphenation w:val="true"/>
  <w:hyphenationZone w:val="0"/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themeFontLang w:val="pl-PL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Calibri" w:cs="" w:asciiTheme="minorHAnsi" w:cstheme="minorBidi" w:eastAsiaTheme="minorHAnsi" w:hAnsiTheme="minorHAnsi"/>
        <w:sz w:val="22"/>
        <w:szCs w:val="22"/>
        <w:lang w:val="pl-PL" w:eastAsia="en-US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3c2233"/>
    <w:pPr>
      <w:widowControl/>
      <w:suppressAutoHyphens w:val="true"/>
      <w:bidi w:val="0"/>
      <w:spacing w:lineRule="auto" w:line="240" w:before="60" w:after="60"/>
      <w:ind w:left="227"/>
      <w:jc w:val="left"/>
    </w:pPr>
    <w:rPr>
      <w:rFonts w:ascii="Arial" w:hAnsi="Arial" w:eastAsia="Calibri" w:cs="" w:cstheme="minorBidi" w:eastAsiaTheme="minorHAnsi"/>
      <w:color w:val="auto"/>
      <w:kern w:val="0"/>
      <w:sz w:val="18"/>
      <w:szCs w:val="22"/>
      <w:lang w:val="pl-PL" w:eastAsia="en-US" w:bidi="ar-SA"/>
    </w:rPr>
  </w:style>
  <w:style w:type="paragraph" w:styleId="Heading1">
    <w:name w:val="heading 1"/>
    <w:basedOn w:val="Normal"/>
    <w:next w:val="Normal"/>
    <w:link w:val="Nagwek1Znak"/>
    <w:uiPriority w:val="9"/>
    <w:qFormat/>
    <w:rsid w:val="00f704c8"/>
    <w:pPr>
      <w:keepNext w:val="true"/>
      <w:keepLines/>
      <w:spacing w:before="240" w:after="0"/>
      <w:outlineLvl w:val="0"/>
    </w:pPr>
    <w:rPr>
      <w:rFonts w:ascii="Calibri Light" w:hAnsi="Calibri Light" w:eastAsia="" w:cs="" w:asciiTheme="majorHAnsi" w:cstheme="majorBidi" w:eastAsiaTheme="majorEastAsia" w:hAnsiTheme="majorHAnsi"/>
      <w:color w:themeColor="accent1" w:themeShade="bf" w:val="2F5496"/>
      <w:sz w:val="32"/>
      <w:szCs w:val="32"/>
    </w:rPr>
  </w:style>
  <w:style w:type="paragraph" w:styleId="Heading2">
    <w:name w:val="heading 2"/>
    <w:basedOn w:val="Normal"/>
    <w:next w:val="Normal"/>
    <w:link w:val="Nagwek2Znak"/>
    <w:uiPriority w:val="9"/>
    <w:semiHidden/>
    <w:unhideWhenUsed/>
    <w:qFormat/>
    <w:rsid w:val="00cf1d75"/>
    <w:pPr>
      <w:keepNext w:val="true"/>
      <w:keepLines/>
      <w:spacing w:before="40" w:after="0"/>
      <w:outlineLvl w:val="1"/>
    </w:pPr>
    <w:rPr>
      <w:rFonts w:ascii="Calibri Light" w:hAnsi="Calibri Light" w:eastAsia="" w:cs="" w:asciiTheme="majorHAnsi" w:cstheme="majorBidi" w:eastAsiaTheme="majorEastAsia" w:hAnsiTheme="majorHAnsi"/>
      <w:color w:themeColor="accent1" w:themeShade="bf" w:val="2F5496"/>
      <w:sz w:val="26"/>
      <w:szCs w:val="26"/>
    </w:rPr>
  </w:style>
  <w:style w:type="paragraph" w:styleId="Heading3">
    <w:name w:val="heading 3"/>
    <w:basedOn w:val="Normal"/>
    <w:next w:val="Normal"/>
    <w:link w:val="Nagwek3Znak"/>
    <w:uiPriority w:val="9"/>
    <w:semiHidden/>
    <w:unhideWhenUsed/>
    <w:qFormat/>
    <w:rsid w:val="00672bdd"/>
    <w:pPr>
      <w:keepNext w:val="true"/>
      <w:keepLines/>
      <w:spacing w:before="40" w:after="0"/>
      <w:outlineLvl w:val="2"/>
    </w:pPr>
    <w:rPr>
      <w:rFonts w:ascii="Calibri Light" w:hAnsi="Calibri Light" w:eastAsia="" w:cs="" w:asciiTheme="majorHAnsi" w:cstheme="majorBidi" w:eastAsiaTheme="majorEastAsia" w:hAnsiTheme="majorHAnsi"/>
      <w:color w:themeColor="accent1" w:themeShade="7f" w:val="1F3763"/>
      <w:sz w:val="24"/>
      <w:szCs w:val="24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Nagwek1Znak" w:customStyle="1">
    <w:name w:val="Nagłówek 1 Znak"/>
    <w:basedOn w:val="DefaultParagraphFont"/>
    <w:uiPriority w:val="9"/>
    <w:qFormat/>
    <w:rsid w:val="00f704c8"/>
    <w:rPr>
      <w:rFonts w:ascii="Calibri Light" w:hAnsi="Calibri Light" w:eastAsia="" w:cs="" w:asciiTheme="majorHAnsi" w:cstheme="majorBidi" w:eastAsiaTheme="majorEastAsia" w:hAnsiTheme="majorHAnsi"/>
      <w:color w:themeColor="accent1" w:themeShade="bf" w:val="2F5496"/>
      <w:sz w:val="32"/>
      <w:szCs w:val="32"/>
    </w:rPr>
  </w:style>
  <w:style w:type="character" w:styleId="Nagwek2Znak" w:customStyle="1">
    <w:name w:val="Nagłówek 2 Znak"/>
    <w:basedOn w:val="DefaultParagraphFont"/>
    <w:uiPriority w:val="9"/>
    <w:semiHidden/>
    <w:qFormat/>
    <w:rsid w:val="00cf1d75"/>
    <w:rPr>
      <w:rFonts w:ascii="Calibri Light" w:hAnsi="Calibri Light" w:eastAsia="" w:cs="" w:asciiTheme="majorHAnsi" w:cstheme="majorBidi" w:eastAsiaTheme="majorEastAsia" w:hAnsiTheme="majorHAnsi"/>
      <w:color w:themeColor="accent1" w:themeShade="bf" w:val="2F5496"/>
      <w:sz w:val="26"/>
      <w:szCs w:val="26"/>
    </w:rPr>
  </w:style>
  <w:style w:type="character" w:styleId="Nagwek3Znak" w:customStyle="1">
    <w:name w:val="Nagłówek 3 Znak"/>
    <w:basedOn w:val="DefaultParagraphFont"/>
    <w:uiPriority w:val="9"/>
    <w:semiHidden/>
    <w:qFormat/>
    <w:rsid w:val="00672bdd"/>
    <w:rPr>
      <w:rFonts w:ascii="Calibri Light" w:hAnsi="Calibri Light" w:eastAsia="" w:cs="" w:asciiTheme="majorHAnsi" w:cstheme="majorBidi" w:eastAsiaTheme="majorEastAsia" w:hAnsiTheme="majorHAnsi"/>
      <w:color w:themeColor="accent1" w:themeShade="7f" w:val="1F3763"/>
      <w:sz w:val="24"/>
      <w:szCs w:val="24"/>
    </w:rPr>
  </w:style>
  <w:style w:type="character" w:styleId="NagwekZnak" w:customStyle="1">
    <w:name w:val="Nagłówek Znak"/>
    <w:basedOn w:val="DefaultParagraphFont"/>
    <w:uiPriority w:val="99"/>
    <w:qFormat/>
    <w:rsid w:val="00f704c8"/>
    <w:rPr/>
  </w:style>
  <w:style w:type="character" w:styleId="StopkaZnak" w:customStyle="1">
    <w:name w:val="Stopka Znak"/>
    <w:basedOn w:val="DefaultParagraphFont"/>
    <w:uiPriority w:val="99"/>
    <w:qFormat/>
    <w:rsid w:val="00f704c8"/>
    <w:rPr/>
  </w:style>
  <w:style w:type="character" w:styleId="Strong">
    <w:name w:val="Strong"/>
    <w:basedOn w:val="DefaultParagraphFont"/>
    <w:uiPriority w:val="22"/>
    <w:qFormat/>
    <w:rsid w:val="003d4a9c"/>
    <w:rPr>
      <w:rFonts w:ascii="Calibri" w:hAnsi="Calibri" w:cs="Arial"/>
      <w:b/>
      <w:bCs/>
      <w:color w:themeColor="background1" w:val="FFFFFF"/>
      <w:sz w:val="28"/>
      <w:szCs w:val="28"/>
    </w:rPr>
  </w:style>
  <w:style w:type="character" w:styleId="TekstdymkaZnak" w:customStyle="1">
    <w:name w:val="Tekst dymka Znak"/>
    <w:basedOn w:val="DefaultParagraphFont"/>
    <w:link w:val="BalloonText"/>
    <w:uiPriority w:val="99"/>
    <w:semiHidden/>
    <w:qFormat/>
    <w:rsid w:val="00f704c8"/>
    <w:rPr>
      <w:rFonts w:ascii="Segoe UI" w:hAnsi="Segoe UI" w:cs="Segoe UI"/>
      <w:sz w:val="18"/>
      <w:szCs w:val="18"/>
    </w:rPr>
  </w:style>
  <w:style w:type="character" w:styleId="GPPTabelkaZnak" w:customStyle="1">
    <w:name w:val="GPP_Tabelka Znak"/>
    <w:basedOn w:val="DefaultParagraphFont"/>
    <w:link w:val="GPPTabelka"/>
    <w:qFormat/>
    <w:rsid w:val="003d4a9c"/>
    <w:rPr>
      <w:rFonts w:ascii="Calibri" w:hAnsi="Calibri"/>
      <w:color w:val="00B050"/>
      <w:sz w:val="18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0b0571"/>
    <w:rPr>
      <w:sz w:val="16"/>
      <w:szCs w:val="16"/>
    </w:rPr>
  </w:style>
  <w:style w:type="character" w:styleId="TekstkomentarzaZnak" w:customStyle="1">
    <w:name w:val="Tekst komentarza Znak"/>
    <w:basedOn w:val="DefaultParagraphFont"/>
    <w:link w:val="CommentText"/>
    <w:uiPriority w:val="99"/>
    <w:semiHidden/>
    <w:qFormat/>
    <w:rsid w:val="000b0571"/>
    <w:rPr>
      <w:sz w:val="20"/>
      <w:szCs w:val="20"/>
    </w:rPr>
  </w:style>
  <w:style w:type="character" w:styleId="TematkomentarzaZnak" w:customStyle="1">
    <w:name w:val="Temat komentarza Znak"/>
    <w:basedOn w:val="TekstkomentarzaZnak"/>
    <w:link w:val="annotationsubject"/>
    <w:uiPriority w:val="99"/>
    <w:semiHidden/>
    <w:qFormat/>
    <w:rsid w:val="000b0571"/>
    <w:rPr>
      <w:b/>
      <w:bCs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fc3000"/>
    <w:rPr>
      <w:color w:themeColor="hyperlink" w:val="0563C1"/>
      <w:u w:val="single"/>
    </w:rPr>
  </w:style>
  <w:style w:type="character" w:styleId="Nierozpoznanawzmianka1" w:customStyle="1">
    <w:name w:val="Nierozpoznana wzmianka1"/>
    <w:basedOn w:val="DefaultParagraphFont"/>
    <w:uiPriority w:val="99"/>
    <w:semiHidden/>
    <w:unhideWhenUsed/>
    <w:qFormat/>
    <w:rsid w:val="003c2233"/>
    <w:rPr>
      <w:color w:val="605E5C"/>
      <w:shd w:fill="E1DFDD" w:val="clear"/>
    </w:rPr>
  </w:style>
  <w:style w:type="character" w:styleId="Poziom3pzZnak1" w:customStyle="1">
    <w:name w:val="Poziom 3 pz Znak1"/>
    <w:link w:val="Poziom3pz"/>
    <w:qFormat/>
    <w:locked/>
    <w:rsid w:val="00980a05"/>
    <w:rPr>
      <w:rFonts w:ascii="Arial" w:hAnsi="Arial" w:eastAsia="Times New Roman" w:cs="Times New Roman"/>
      <w:szCs w:val="20"/>
      <w:lang w:val="x-none" w:eastAsia="x-none"/>
    </w:rPr>
  </w:style>
  <w:style w:type="character" w:styleId="NORMALPODSTZnak1" w:customStyle="1">
    <w:name w:val="NORMAL_PODST Znak1"/>
    <w:link w:val="NORMALPODST"/>
    <w:qFormat/>
    <w:locked/>
    <w:rsid w:val="005e213d"/>
    <w:rPr>
      <w:rFonts w:ascii="Arial" w:hAnsi="Arial" w:eastAsia="Arial" w:cs="Arial"/>
      <w:kern w:val="2"/>
      <w:sz w:val="18"/>
      <w:szCs w:val="18"/>
      <w:lang w:eastAsia="ar-SA"/>
    </w:rPr>
  </w:style>
  <w:style w:type="character" w:styleId="AkapitzlistZnak" w:customStyle="1">
    <w:name w:val="Akapit z listą Znak"/>
    <w:link w:val="ListParagraph"/>
    <w:uiPriority w:val="34"/>
    <w:qFormat/>
    <w:locked/>
    <w:rsid w:val="00411c54"/>
    <w:rPr>
      <w:rFonts w:ascii="Arial" w:hAnsi="Arial"/>
      <w:sz w:val="18"/>
    </w:rPr>
  </w:style>
  <w:style w:type="character" w:styleId="item-fieldvalue" w:customStyle="1">
    <w:name w:val="item-fieldvalue"/>
    <w:basedOn w:val="DefaultParagraphFont"/>
    <w:qFormat/>
    <w:rsid w:val="00b11012"/>
    <w:rPr/>
  </w:style>
  <w:style w:type="character" w:styleId="GPPOPISZnak" w:customStyle="1">
    <w:name w:val="GPP_OPIS Znak"/>
    <w:link w:val="GPPOPIS"/>
    <w:qFormat/>
    <w:rsid w:val="00376064"/>
    <w:rPr>
      <w:rFonts w:ascii="Calibri" w:hAnsi="Calibri"/>
      <w:sz w:val="20"/>
    </w:rPr>
  </w:style>
  <w:style w:type="character" w:styleId="NORMALPODSTZnak" w:customStyle="1">
    <w:name w:val="NORMAL_PODST Znak"/>
    <w:qFormat/>
    <w:rsid w:val="001700fa"/>
    <w:rPr>
      <w:rFonts w:ascii="Arial" w:hAnsi="Arial" w:eastAsia="Arial"/>
      <w:kern w:val="2"/>
      <w:sz w:val="18"/>
      <w:lang w:val="x-none" w:eastAsia="x-none"/>
    </w:rPr>
  </w:style>
  <w:style w:type="character" w:styleId="naglowekAZnak" w:customStyle="1">
    <w:name w:val="naglowek A Znak"/>
    <w:basedOn w:val="Nagwek2Znak"/>
    <w:link w:val="naglowekA"/>
    <w:qFormat/>
    <w:rsid w:val="001700fa"/>
    <w:rPr>
      <w:rFonts w:ascii="Arial" w:hAnsi="Arial" w:eastAsia="" w:cs="Arial" w:eastAsiaTheme="majorEastAsia"/>
      <w:b/>
      <w:bCs/>
      <w:iCs/>
      <w:color w:themeColor="accent1" w:themeShade="bf" w:val="2F5496"/>
      <w:sz w:val="26"/>
      <w:szCs w:val="28"/>
      <w:lang w:eastAsia="pl-PL"/>
    </w:rPr>
  </w:style>
  <w:style w:type="character" w:styleId="GPPkropkaZnak" w:customStyle="1">
    <w:name w:val="GPP_kropka Znak"/>
    <w:link w:val="GPPkropka"/>
    <w:qFormat/>
    <w:rsid w:val="003b48e1"/>
    <w:rPr>
      <w:rFonts w:ascii="Calibri" w:hAnsi="Calibri"/>
      <w:sz w:val="20"/>
    </w:rPr>
  </w:style>
  <w:style w:type="character" w:styleId="czeindeksu">
    <w:name w:val="Łącze indeksu"/>
    <w:qFormat/>
    <w:rPr/>
  </w:style>
  <w:style w:type="character" w:styleId="czeindeksuuser">
    <w:name w:val="Łącze indeksu (user)"/>
    <w:qFormat/>
    <w:rPr/>
  </w:style>
  <w:style w:type="paragraph" w:styleId="Nagwek">
    <w:name w:val="Nagłówek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BodyText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BodyText"/>
    <w:pPr/>
    <w:rPr>
      <w:rFonts w:cs="Arial Unicode MS"/>
    </w:rPr>
  </w:style>
  <w:style w:type="paragraph" w:styleId="Caption">
    <w:name w:val="caption"/>
    <w:basedOn w:val="Normal"/>
    <w:next w:val="Normal"/>
    <w:uiPriority w:val="35"/>
    <w:unhideWhenUsed/>
    <w:qFormat/>
    <w:rsid w:val="00553bf9"/>
    <w:pPr>
      <w:spacing w:before="0" w:after="200"/>
    </w:pPr>
    <w:rPr>
      <w:i/>
      <w:iCs/>
      <w:color w:themeColor="text2" w:val="44546A"/>
      <w:szCs w:val="18"/>
    </w:rPr>
  </w:style>
  <w:style w:type="paragraph" w:styleId="Indeks">
    <w:name w:val="Indeks"/>
    <w:basedOn w:val="Normal"/>
    <w:qFormat/>
    <w:pPr>
      <w:suppressLineNumbers/>
    </w:pPr>
    <w:rPr>
      <w:rFonts w:cs="Arial Unicode MS"/>
    </w:rPr>
  </w:style>
  <w:style w:type="paragraph" w:styleId="Nagwekuser">
    <w:name w:val="Nagłówek (user)"/>
    <w:basedOn w:val="Normal"/>
    <w:next w:val="BodyText"/>
    <w:qFormat/>
    <w:pPr>
      <w:keepNext w:val="true"/>
      <w:spacing w:before="240" w:after="120"/>
    </w:pPr>
    <w:rPr>
      <w:rFonts w:ascii="Liberation Sans" w:hAnsi="Liberation Sans" w:eastAsia="Microsoft YaHei" w:cs="Arial Unicode MS"/>
      <w:sz w:val="28"/>
      <w:szCs w:val="28"/>
    </w:rPr>
  </w:style>
  <w:style w:type="paragraph" w:styleId="Indeksuser">
    <w:name w:val="Indeks (user)"/>
    <w:basedOn w:val="Normal"/>
    <w:qFormat/>
    <w:pPr>
      <w:suppressLineNumbers/>
    </w:pPr>
    <w:rPr>
      <w:rFonts w:cs="Arial Unicode MS"/>
    </w:rPr>
  </w:style>
  <w:style w:type="paragraph" w:styleId="Gwkaistopka">
    <w:name w:val="Główka i stopka"/>
    <w:basedOn w:val="Normal"/>
    <w:qFormat/>
    <w:pPr/>
    <w:rPr/>
  </w:style>
  <w:style w:type="paragraph" w:styleId="Gwkaistopkauser">
    <w:name w:val="Główka i stopka (user)"/>
    <w:basedOn w:val="Normal"/>
    <w:qFormat/>
    <w:pPr/>
    <w:rPr/>
  </w:style>
  <w:style w:type="paragraph" w:styleId="Header">
    <w:name w:val="header"/>
    <w:basedOn w:val="Normal"/>
    <w:link w:val="NagwekZnak"/>
    <w:uiPriority w:val="99"/>
    <w:unhideWhenUsed/>
    <w:rsid w:val="00f704c8"/>
    <w:pPr>
      <w:tabs>
        <w:tab w:val="clear" w:pos="708"/>
        <w:tab w:val="center" w:pos="4536" w:leader="none"/>
        <w:tab w:val="right" w:pos="9072" w:leader="none"/>
      </w:tabs>
      <w:spacing w:before="60" w:after="0"/>
    </w:pPr>
    <w:rPr/>
  </w:style>
  <w:style w:type="paragraph" w:styleId="Footer">
    <w:name w:val="footer"/>
    <w:basedOn w:val="Normal"/>
    <w:link w:val="StopkaZnak"/>
    <w:uiPriority w:val="99"/>
    <w:unhideWhenUsed/>
    <w:rsid w:val="00f704c8"/>
    <w:pPr>
      <w:tabs>
        <w:tab w:val="clear" w:pos="708"/>
        <w:tab w:val="center" w:pos="4536" w:leader="none"/>
        <w:tab w:val="right" w:pos="9072" w:leader="none"/>
      </w:tabs>
      <w:spacing w:before="60" w:after="0"/>
    </w:pPr>
    <w:rPr/>
  </w:style>
  <w:style w:type="paragraph" w:styleId="NoSpacing">
    <w:name w:val="No Spacing"/>
    <w:uiPriority w:val="1"/>
    <w:qFormat/>
    <w:rsid w:val="00c11031"/>
    <w:pPr>
      <w:widowControl/>
      <w:suppressAutoHyphens w:val="true"/>
      <w:bidi w:val="0"/>
      <w:spacing w:lineRule="auto" w:line="240" w:before="0" w:after="0"/>
      <w:jc w:val="center"/>
    </w:pPr>
    <w:rPr>
      <w:rFonts w:ascii="Calibri" w:hAnsi="Calibri" w:eastAsia="Calibri" w:cs="Arial" w:asciiTheme="minorHAnsi" w:eastAsiaTheme="minorHAnsi" w:hAnsiTheme="minorHAnsi"/>
      <w:b/>
      <w:bCs/>
      <w:color w:val="auto"/>
      <w:kern w:val="0"/>
      <w:sz w:val="16"/>
      <w:szCs w:val="16"/>
      <w:lang w:val="pl-PL" w:eastAsia="en-US" w:bidi="ar-SA"/>
    </w:rPr>
  </w:style>
  <w:style w:type="paragraph" w:styleId="Revision">
    <w:name w:val="Revision"/>
    <w:uiPriority w:val="99"/>
    <w:semiHidden/>
    <w:qFormat/>
    <w:rsid w:val="00f704c8"/>
    <w:pPr>
      <w:widowControl/>
      <w:suppressAutoHyphens w:val="true"/>
      <w:bidi w:val="0"/>
      <w:spacing w:lineRule="auto" w:line="240" w:before="0" w:after="0"/>
      <w:jc w:val="left"/>
    </w:pPr>
    <w:rPr>
      <w:rFonts w:ascii="Calibri" w:hAnsi="Calibri" w:eastAsia="Calibri" w:cs="" w:asciiTheme="minorHAnsi" w:cstheme="minorBidi" w:eastAsiaTheme="minorHAnsi" w:hAnsiTheme="minorHAnsi"/>
      <w:color w:val="auto"/>
      <w:kern w:val="0"/>
      <w:sz w:val="22"/>
      <w:szCs w:val="22"/>
      <w:lang w:val="pl-PL" w:eastAsia="en-US" w:bidi="ar-SA"/>
    </w:rPr>
  </w:style>
  <w:style w:type="paragraph" w:styleId="BalloonText">
    <w:name w:val="Balloon Text"/>
    <w:basedOn w:val="Normal"/>
    <w:link w:val="TekstdymkaZnak"/>
    <w:uiPriority w:val="99"/>
    <w:semiHidden/>
    <w:unhideWhenUsed/>
    <w:qFormat/>
    <w:rsid w:val="00f704c8"/>
    <w:pPr>
      <w:spacing w:before="60" w:after="0"/>
    </w:pPr>
    <w:rPr>
      <w:rFonts w:ascii="Segoe UI" w:hAnsi="Segoe UI" w:cs="Segoe UI"/>
      <w:szCs w:val="18"/>
    </w:rPr>
  </w:style>
  <w:style w:type="paragraph" w:styleId="GPPTabelka" w:customStyle="1">
    <w:name w:val="GPP_Tabelka"/>
    <w:basedOn w:val="Normal"/>
    <w:link w:val="GPPTabelkaZnak"/>
    <w:qFormat/>
    <w:rsid w:val="003d4a9c"/>
    <w:pPr>
      <w:spacing w:before="0" w:after="40"/>
      <w:ind w:left="0"/>
    </w:pPr>
    <w:rPr>
      <w:rFonts w:ascii="Calibri" w:hAnsi="Calibri"/>
      <w:color w:val="00B050"/>
    </w:rPr>
  </w:style>
  <w:style w:type="paragraph" w:styleId="CommentText">
    <w:name w:val="annotation text"/>
    <w:basedOn w:val="Normal"/>
    <w:link w:val="TekstkomentarzaZnak"/>
    <w:uiPriority w:val="99"/>
    <w:semiHidden/>
    <w:unhideWhenUsed/>
    <w:rsid w:val="000b0571"/>
    <w:pPr/>
    <w:rPr>
      <w:sz w:val="20"/>
      <w:szCs w:val="20"/>
    </w:rPr>
  </w:style>
  <w:style w:type="paragraph" w:styleId="annotationsubject">
    <w:name w:val="annotation subject"/>
    <w:basedOn w:val="CommentText"/>
    <w:next w:val="CommentText"/>
    <w:link w:val="TematkomentarzaZnak"/>
    <w:uiPriority w:val="99"/>
    <w:semiHidden/>
    <w:unhideWhenUsed/>
    <w:qFormat/>
    <w:rsid w:val="000b0571"/>
    <w:pPr/>
    <w:rPr>
      <w:b/>
      <w:bCs/>
    </w:rPr>
  </w:style>
  <w:style w:type="paragraph" w:styleId="GPPCZESCI" w:customStyle="1">
    <w:name w:val="GPP_CZESCI"/>
    <w:basedOn w:val="GPPELEMENTY"/>
    <w:qFormat/>
    <w:rsid w:val="006f18ca"/>
    <w:pPr>
      <w:numPr>
        <w:ilvl w:val="0"/>
        <w:numId w:val="0"/>
      </w:numPr>
      <w:ind w:hanging="425" w:left="142"/>
    </w:pPr>
    <w:rPr/>
  </w:style>
  <w:style w:type="paragraph" w:styleId="GPPELEMENTY" w:customStyle="1">
    <w:name w:val="GPP_ELEMENTY"/>
    <w:basedOn w:val="Heading1"/>
    <w:qFormat/>
    <w:rsid w:val="006f18ca"/>
    <w:pPr>
      <w:numPr>
        <w:ilvl w:val="0"/>
        <w:numId w:val="1"/>
      </w:numPr>
      <w:pBdr>
        <w:bottom w:val="single" w:sz="6" w:space="1" w:color="000000"/>
      </w:pBdr>
      <w:spacing w:before="120" w:after="120"/>
      <w:ind w:hanging="425" w:left="567"/>
    </w:pPr>
    <w:rPr>
      <w:rFonts w:ascii="Calibri" w:hAnsi="Calibri"/>
      <w:b/>
      <w:color w:themeColor="accent1" w:themeShade="bf" w:val="auto"/>
      <w:sz w:val="28"/>
    </w:rPr>
  </w:style>
  <w:style w:type="paragraph" w:styleId="GPPCZESC2" w:customStyle="1">
    <w:name w:val="GPP_CZESC 2"/>
    <w:basedOn w:val="Heading2"/>
    <w:qFormat/>
    <w:rsid w:val="006f18ca"/>
    <w:pPr>
      <w:numPr>
        <w:ilvl w:val="0"/>
        <w:numId w:val="2"/>
      </w:numPr>
      <w:spacing w:before="60" w:after="120"/>
      <w:ind w:hanging="425" w:left="567"/>
    </w:pPr>
    <w:rPr>
      <w:rFonts w:ascii="Calibri" w:hAnsi="Calibri"/>
      <w:b/>
      <w:bCs/>
      <w:color w:themeColor="accent1" w:themeShade="bf" w:val="auto"/>
      <w:sz w:val="28"/>
      <w:szCs w:val="28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ListParagraph">
    <w:name w:val="List Paragraph"/>
    <w:basedOn w:val="Normal"/>
    <w:link w:val="AkapitzlistZnak"/>
    <w:uiPriority w:val="34"/>
    <w:qFormat/>
    <w:rsid w:val="00672bdd"/>
    <w:pPr>
      <w:spacing w:before="60" w:after="60"/>
      <w:ind w:left="720"/>
      <w:contextualSpacing/>
    </w:pPr>
    <w:rPr/>
  </w:style>
  <w:style w:type="paragraph" w:styleId="GPPPUNKT1" w:customStyle="1">
    <w:name w:val="GPP_PUNKT 1"/>
    <w:basedOn w:val="Heading3"/>
    <w:qFormat/>
    <w:rsid w:val="00c11031"/>
    <w:pPr>
      <w:numPr>
        <w:ilvl w:val="0"/>
        <w:numId w:val="3"/>
      </w:numPr>
      <w:tabs>
        <w:tab w:val="clear" w:pos="708"/>
        <w:tab w:val="left" w:pos="567" w:leader="none"/>
      </w:tabs>
      <w:spacing w:before="80" w:after="80"/>
    </w:pPr>
    <w:rPr>
      <w:rFonts w:ascii="Calibri" w:hAnsi="Calibri"/>
      <w:b/>
      <w:bCs/>
      <w:color w:themeColor="accent1" w:themeShade="7f" w:val="auto"/>
      <w:sz w:val="22"/>
      <w:szCs w:val="20"/>
    </w:rPr>
  </w:style>
  <w:style w:type="paragraph" w:styleId="GPPOPIS" w:customStyle="1">
    <w:name w:val="GPP_OPIS"/>
    <w:basedOn w:val="Normal"/>
    <w:link w:val="GPPOPISZnak"/>
    <w:qFormat/>
    <w:rsid w:val="003d4a9c"/>
    <w:pPr>
      <w:spacing w:before="20" w:after="60"/>
      <w:ind w:left="567"/>
    </w:pPr>
    <w:rPr>
      <w:rFonts w:ascii="Calibri" w:hAnsi="Calibri"/>
      <w:sz w:val="20"/>
    </w:rPr>
  </w:style>
  <w:style w:type="paragraph" w:styleId="GPPpodkreslowny" w:customStyle="1">
    <w:name w:val="GPP_podkreslowny"/>
    <w:basedOn w:val="GPPOPIS"/>
    <w:qFormat/>
    <w:rsid w:val="00b70084"/>
    <w:pPr>
      <w:spacing w:before="20" w:after="120"/>
    </w:pPr>
    <w:rPr>
      <w:u w:val="single"/>
    </w:rPr>
  </w:style>
  <w:style w:type="paragraph" w:styleId="GPPkropka" w:customStyle="1">
    <w:name w:val="GPP_kropka"/>
    <w:basedOn w:val="GPPOPIS"/>
    <w:link w:val="GPPkropkaZnak"/>
    <w:qFormat/>
    <w:rsid w:val="00df6072"/>
    <w:pPr>
      <w:numPr>
        <w:ilvl w:val="0"/>
        <w:numId w:val="4"/>
      </w:numPr>
      <w:spacing w:before="0" w:after="40"/>
      <w:ind w:hanging="284" w:left="1135"/>
    </w:pPr>
    <w:rPr/>
  </w:style>
  <w:style w:type="paragraph" w:styleId="PBCZESC3" w:customStyle="1">
    <w:name w:val="PB_CZESC 3"/>
    <w:basedOn w:val="GPPELEMENTY"/>
    <w:qFormat/>
    <w:rsid w:val="00b70084"/>
    <w:pPr>
      <w:numPr>
        <w:ilvl w:val="0"/>
        <w:numId w:val="0"/>
      </w:numPr>
      <w:ind w:hanging="425" w:left="567"/>
    </w:pPr>
    <w:rPr/>
  </w:style>
  <w:style w:type="paragraph" w:styleId="GPPPUNKT11" w:customStyle="1">
    <w:name w:val="GPP_PUNKT 1.1"/>
    <w:basedOn w:val="Heading3"/>
    <w:qFormat/>
    <w:rsid w:val="00c11031"/>
    <w:pPr>
      <w:numPr>
        <w:ilvl w:val="1"/>
        <w:numId w:val="3"/>
      </w:numPr>
      <w:tabs>
        <w:tab w:val="clear" w:pos="708"/>
        <w:tab w:val="left" w:pos="993" w:leader="none"/>
      </w:tabs>
      <w:ind w:left="720"/>
    </w:pPr>
    <w:rPr>
      <w:rFonts w:ascii="Calibri" w:hAnsi="Calibri"/>
      <w:b/>
      <w:bCs/>
      <w:color w:themeColor="accent1" w:themeShade="7f" w:val="auto"/>
      <w:sz w:val="22"/>
      <w:szCs w:val="20"/>
    </w:rPr>
  </w:style>
  <w:style w:type="paragraph" w:styleId="IndexHeading">
    <w:name w:val="index heading"/>
    <w:basedOn w:val="Nagwek"/>
    <w:pPr/>
    <w:rPr/>
  </w:style>
  <w:style w:type="paragraph" w:styleId="TOCHeading">
    <w:name w:val="TOC Heading"/>
    <w:basedOn w:val="Heading1"/>
    <w:next w:val="Normal"/>
    <w:uiPriority w:val="39"/>
    <w:unhideWhenUsed/>
    <w:qFormat/>
    <w:rsid w:val="00fc3000"/>
    <w:pPr>
      <w:spacing w:lineRule="auto" w:line="259"/>
      <w:outlineLvl w:val="9"/>
    </w:pPr>
    <w:rPr>
      <w:lang w:eastAsia="pl-PL"/>
    </w:rPr>
  </w:style>
  <w:style w:type="paragraph" w:styleId="TOC1">
    <w:name w:val="toc 1"/>
    <w:basedOn w:val="GPPOPIS"/>
    <w:next w:val="GPPOPIS"/>
    <w:autoRedefine/>
    <w:uiPriority w:val="39"/>
    <w:unhideWhenUsed/>
    <w:rsid w:val="003d4a9c"/>
    <w:pPr>
      <w:pBdr>
        <w:bottom w:val="single" w:sz="6" w:space="1" w:color="000000"/>
      </w:pBdr>
      <w:tabs>
        <w:tab w:val="clear" w:pos="708"/>
        <w:tab w:val="left" w:pos="851" w:leader="none"/>
        <w:tab w:val="right" w:pos="9231" w:leader="dot"/>
      </w:tabs>
    </w:pPr>
    <w:rPr>
      <w:b/>
    </w:rPr>
  </w:style>
  <w:style w:type="paragraph" w:styleId="TOC2">
    <w:name w:val="toc 2"/>
    <w:basedOn w:val="GPPOPIS"/>
    <w:next w:val="GPPOPIS"/>
    <w:autoRedefine/>
    <w:uiPriority w:val="39"/>
    <w:unhideWhenUsed/>
    <w:rsid w:val="00fc3000"/>
    <w:pPr>
      <w:pBdr>
        <w:bottom w:val="single" w:sz="2" w:space="1" w:color="000000"/>
      </w:pBdr>
      <w:tabs>
        <w:tab w:val="clear" w:pos="708"/>
        <w:tab w:val="right" w:pos="9231" w:leader="dot"/>
      </w:tabs>
      <w:ind w:left="181"/>
    </w:pPr>
    <w:rPr>
      <w:b/>
    </w:rPr>
  </w:style>
  <w:style w:type="paragraph" w:styleId="TOC3">
    <w:name w:val="toc 3"/>
    <w:basedOn w:val="GPPOPIS"/>
    <w:next w:val="GPPOPIS"/>
    <w:autoRedefine/>
    <w:uiPriority w:val="39"/>
    <w:unhideWhenUsed/>
    <w:rsid w:val="003c2233"/>
    <w:pPr>
      <w:tabs>
        <w:tab w:val="clear" w:pos="708"/>
        <w:tab w:val="left" w:pos="880" w:leader="none"/>
        <w:tab w:val="right" w:pos="9231" w:leader="dot"/>
      </w:tabs>
      <w:spacing w:before="40" w:after="40"/>
      <w:ind w:left="510"/>
    </w:pPr>
    <w:rPr/>
  </w:style>
  <w:style w:type="paragraph" w:styleId="TOC4">
    <w:name w:val="toc 4"/>
    <w:basedOn w:val="Normal"/>
    <w:next w:val="Normal"/>
    <w:autoRedefine/>
    <w:uiPriority w:val="39"/>
    <w:unhideWhenUsed/>
    <w:rsid w:val="003c2233"/>
    <w:pPr>
      <w:spacing w:lineRule="auto" w:line="259" w:before="0" w:after="100"/>
      <w:ind w:left="660"/>
    </w:pPr>
    <w:rPr>
      <w:rFonts w:ascii="Calibri" w:hAnsi="Calibri" w:eastAsia="" w:asciiTheme="minorHAnsi" w:eastAsiaTheme="minorEastAsia" w:hAnsiTheme="minorHAnsi"/>
      <w:sz w:val="22"/>
      <w:lang w:eastAsia="pl-PL"/>
    </w:rPr>
  </w:style>
  <w:style w:type="paragraph" w:styleId="TOC5">
    <w:name w:val="toc 5"/>
    <w:basedOn w:val="Normal"/>
    <w:next w:val="Normal"/>
    <w:autoRedefine/>
    <w:uiPriority w:val="39"/>
    <w:unhideWhenUsed/>
    <w:rsid w:val="003c2233"/>
    <w:pPr>
      <w:spacing w:lineRule="auto" w:line="259" w:before="0" w:after="100"/>
      <w:ind w:left="880"/>
    </w:pPr>
    <w:rPr>
      <w:rFonts w:ascii="Calibri" w:hAnsi="Calibri" w:eastAsia="" w:asciiTheme="minorHAnsi" w:eastAsiaTheme="minorEastAsia" w:hAnsiTheme="minorHAnsi"/>
      <w:sz w:val="22"/>
      <w:lang w:eastAsia="pl-PL"/>
    </w:rPr>
  </w:style>
  <w:style w:type="paragraph" w:styleId="TOC6">
    <w:name w:val="toc 6"/>
    <w:basedOn w:val="Normal"/>
    <w:next w:val="Normal"/>
    <w:autoRedefine/>
    <w:uiPriority w:val="39"/>
    <w:unhideWhenUsed/>
    <w:rsid w:val="003c2233"/>
    <w:pPr>
      <w:spacing w:lineRule="auto" w:line="259" w:before="0" w:after="100"/>
      <w:ind w:left="1100"/>
    </w:pPr>
    <w:rPr>
      <w:rFonts w:ascii="Calibri" w:hAnsi="Calibri" w:eastAsia="" w:asciiTheme="minorHAnsi" w:eastAsiaTheme="minorEastAsia" w:hAnsiTheme="minorHAnsi"/>
      <w:sz w:val="22"/>
      <w:lang w:eastAsia="pl-PL"/>
    </w:rPr>
  </w:style>
  <w:style w:type="paragraph" w:styleId="TOC7">
    <w:name w:val="toc 7"/>
    <w:basedOn w:val="Normal"/>
    <w:next w:val="Normal"/>
    <w:autoRedefine/>
    <w:uiPriority w:val="39"/>
    <w:unhideWhenUsed/>
    <w:rsid w:val="003c2233"/>
    <w:pPr>
      <w:spacing w:lineRule="auto" w:line="259" w:before="0" w:after="100"/>
      <w:ind w:left="1320"/>
    </w:pPr>
    <w:rPr>
      <w:rFonts w:ascii="Calibri" w:hAnsi="Calibri" w:eastAsia="" w:asciiTheme="minorHAnsi" w:eastAsiaTheme="minorEastAsia" w:hAnsiTheme="minorHAnsi"/>
      <w:sz w:val="22"/>
      <w:lang w:eastAsia="pl-PL"/>
    </w:rPr>
  </w:style>
  <w:style w:type="paragraph" w:styleId="TOC8">
    <w:name w:val="toc 8"/>
    <w:basedOn w:val="Normal"/>
    <w:next w:val="Normal"/>
    <w:autoRedefine/>
    <w:uiPriority w:val="39"/>
    <w:unhideWhenUsed/>
    <w:rsid w:val="003c2233"/>
    <w:pPr>
      <w:spacing w:lineRule="auto" w:line="259" w:before="0" w:after="100"/>
      <w:ind w:left="1540"/>
    </w:pPr>
    <w:rPr>
      <w:rFonts w:ascii="Calibri" w:hAnsi="Calibri" w:eastAsia="" w:asciiTheme="minorHAnsi" w:eastAsiaTheme="minorEastAsia" w:hAnsiTheme="minorHAnsi"/>
      <w:sz w:val="22"/>
      <w:lang w:eastAsia="pl-PL"/>
    </w:rPr>
  </w:style>
  <w:style w:type="paragraph" w:styleId="TOC9">
    <w:name w:val="toc 9"/>
    <w:basedOn w:val="Normal"/>
    <w:next w:val="Normal"/>
    <w:autoRedefine/>
    <w:uiPriority w:val="39"/>
    <w:unhideWhenUsed/>
    <w:rsid w:val="003c2233"/>
    <w:pPr>
      <w:spacing w:lineRule="auto" w:line="259" w:before="0" w:after="100"/>
      <w:ind w:left="1760"/>
    </w:pPr>
    <w:rPr>
      <w:rFonts w:ascii="Calibri" w:hAnsi="Calibri" w:eastAsia="" w:asciiTheme="minorHAnsi" w:eastAsiaTheme="minorEastAsia" w:hAnsiTheme="minorHAnsi"/>
      <w:sz w:val="22"/>
      <w:lang w:eastAsia="pl-PL"/>
    </w:rPr>
  </w:style>
  <w:style w:type="paragraph" w:styleId="Poziom3pz" w:customStyle="1">
    <w:name w:val="Poziom 3 pz"/>
    <w:basedOn w:val="Normal"/>
    <w:link w:val="Poziom3pzZnak1"/>
    <w:qFormat/>
    <w:rsid w:val="00980a05"/>
    <w:pPr>
      <w:spacing w:lineRule="exact" w:line="300" w:before="0" w:after="80"/>
      <w:ind w:firstLine="284" w:left="284"/>
      <w:jc w:val="both"/>
    </w:pPr>
    <w:rPr>
      <w:rFonts w:eastAsia="Times New Roman" w:cs="Times New Roman"/>
      <w:sz w:val="22"/>
      <w:szCs w:val="20"/>
      <w:lang w:val="x-none" w:eastAsia="x-none"/>
    </w:rPr>
  </w:style>
  <w:style w:type="paragraph" w:styleId="NORMALPODST" w:customStyle="1">
    <w:name w:val="NORMAL_PODST"/>
    <w:basedOn w:val="Normal"/>
    <w:link w:val="NORMALPODSTZnak1"/>
    <w:qFormat/>
    <w:rsid w:val="005e213d"/>
    <w:pPr>
      <w:suppressAutoHyphens w:val="true"/>
      <w:ind w:left="425"/>
    </w:pPr>
    <w:rPr>
      <w:rFonts w:eastAsia="Arial" w:cs="Arial"/>
      <w:kern w:val="2"/>
      <w:szCs w:val="18"/>
      <w:lang w:eastAsia="ar-SA"/>
    </w:rPr>
  </w:style>
  <w:style w:type="paragraph" w:styleId="naglowekA" w:customStyle="1">
    <w:name w:val="naglowek A"/>
    <w:basedOn w:val="Heading2"/>
    <w:link w:val="naglowekAZnak"/>
    <w:qFormat/>
    <w:rsid w:val="001700fa"/>
    <w:pPr>
      <w:keepLines w:val="false"/>
      <w:tabs>
        <w:tab w:val="clear" w:pos="708"/>
        <w:tab w:val="left" w:pos="1728" w:leader="none"/>
      </w:tabs>
      <w:spacing w:before="80" w:after="40"/>
      <w:ind w:hanging="648" w:left="1728"/>
    </w:pPr>
    <w:rPr>
      <w:rFonts w:ascii="Arial" w:hAnsi="Arial" w:cs="Arial"/>
      <w:b/>
      <w:bCs/>
      <w:iCs/>
      <w:szCs w:val="28"/>
      <w:lang w:eastAsia="pl-PL"/>
    </w:rPr>
  </w:style>
  <w:style w:type="paragraph" w:styleId="Zawartoramki">
    <w:name w:val="Zawartość ramki"/>
    <w:basedOn w:val="Normal"/>
    <w:qFormat/>
    <w:pPr/>
    <w:rPr/>
  </w:style>
  <w:style w:type="paragraph" w:styleId="Zawartoramkiuser">
    <w:name w:val="Zawartość ramki (user)"/>
    <w:basedOn w:val="Normal"/>
    <w:qFormat/>
    <w:pPr/>
    <w:rPr/>
  </w:style>
  <w:style w:type="numbering" w:styleId="Bezlisty" w:default="1">
    <w:name w:val="Bez listy"/>
    <w:uiPriority w:val="99"/>
    <w:semiHidden/>
    <w:unhideWhenUsed/>
    <w:qFormat/>
  </w:style>
  <w:style w:type="table" w:default="1" w:styleId="Standardowy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Tabela-Siatka">
    <w:name w:val="Table Grid"/>
    <w:basedOn w:val="Standardowy"/>
    <w:uiPriority w:val="39"/>
    <w:rsid w:val="000c796b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header" Target="header1.xml"/><Relationship Id="rId4" Type="http://schemas.openxmlformats.org/officeDocument/2006/relationships/header" Target="header2.xml"/><Relationship Id="rId5" Type="http://schemas.openxmlformats.org/officeDocument/2006/relationships/header" Target="header3.xml"/><Relationship Id="rId6" Type="http://schemas.openxmlformats.org/officeDocument/2006/relationships/footer" Target="footer1.xml"/><Relationship Id="rId7" Type="http://schemas.openxmlformats.org/officeDocument/2006/relationships/footer" Target="footer2.xml"/><Relationship Id="rId8" Type="http://schemas.openxmlformats.org/officeDocument/2006/relationships/footer" Target="footer3.xml"/><Relationship Id="rId9" Type="http://schemas.openxmlformats.org/officeDocument/2006/relationships/image" Target="media/image2.png"/><Relationship Id="rId10" Type="http://schemas.openxmlformats.org/officeDocument/2006/relationships/image" Target="media/image3.png"/><Relationship Id="rId11" Type="http://schemas.openxmlformats.org/officeDocument/2006/relationships/image" Target="media/image4.png"/><Relationship Id="rId12" Type="http://schemas.openxmlformats.org/officeDocument/2006/relationships/image" Target="media/image5.png"/><Relationship Id="rId13" Type="http://schemas.openxmlformats.org/officeDocument/2006/relationships/image" Target="media/image6.png"/><Relationship Id="rId14" Type="http://schemas.openxmlformats.org/officeDocument/2006/relationships/image" Target="media/image7.png"/><Relationship Id="rId15" Type="http://schemas.openxmlformats.org/officeDocument/2006/relationships/image" Target="media/image8.png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image" Target="media/image11.png"/><Relationship Id="rId19" Type="http://schemas.openxmlformats.org/officeDocument/2006/relationships/image" Target="media/image12.png"/><Relationship Id="rId20" Type="http://schemas.openxmlformats.org/officeDocument/2006/relationships/image" Target="media/image13.png"/><Relationship Id="rId21" Type="http://schemas.openxmlformats.org/officeDocument/2006/relationships/image" Target="media/image14.png"/><Relationship Id="rId22" Type="http://schemas.openxmlformats.org/officeDocument/2006/relationships/image" Target="media/image15.png"/><Relationship Id="rId23" Type="http://schemas.openxmlformats.org/officeDocument/2006/relationships/image" Target="media/image16.png"/><Relationship Id="rId24" Type="http://schemas.openxmlformats.org/officeDocument/2006/relationships/image" Target="media/image17.png"/><Relationship Id="rId25" Type="http://schemas.openxmlformats.org/officeDocument/2006/relationships/image" Target="media/image18.png"/><Relationship Id="rId26" Type="http://schemas.openxmlformats.org/officeDocument/2006/relationships/image" Target="media/image19.png"/><Relationship Id="rId27" Type="http://schemas.openxmlformats.org/officeDocument/2006/relationships/image" Target="media/image20.jpeg"/><Relationship Id="rId28" Type="http://schemas.openxmlformats.org/officeDocument/2006/relationships/image" Target="media/image21.jpeg"/><Relationship Id="rId29" Type="http://schemas.openxmlformats.org/officeDocument/2006/relationships/image" Target="media/image22.jpeg"/><Relationship Id="rId30" Type="http://schemas.openxmlformats.org/officeDocument/2006/relationships/image" Target="media/image23.jpeg"/><Relationship Id="rId31" Type="http://schemas.openxmlformats.org/officeDocument/2006/relationships/image" Target="media/image24.jpeg"/><Relationship Id="rId32" Type="http://schemas.openxmlformats.org/officeDocument/2006/relationships/image" Target="media/image25.jpeg"/><Relationship Id="rId33" Type="http://schemas.openxmlformats.org/officeDocument/2006/relationships/image" Target="media/image26.jpeg"/><Relationship Id="rId34" Type="http://schemas.openxmlformats.org/officeDocument/2006/relationships/image" Target="media/image27.jpeg"/><Relationship Id="rId35" Type="http://schemas.openxmlformats.org/officeDocument/2006/relationships/image" Target="media/image28.jpeg"/><Relationship Id="rId36" Type="http://schemas.openxmlformats.org/officeDocument/2006/relationships/image" Target="media/image29.jpeg"/><Relationship Id="rId37" Type="http://schemas.openxmlformats.org/officeDocument/2006/relationships/header" Target="header4.xml"/><Relationship Id="rId38" Type="http://schemas.openxmlformats.org/officeDocument/2006/relationships/header" Target="header5.xml"/><Relationship Id="rId39" Type="http://schemas.openxmlformats.org/officeDocument/2006/relationships/header" Target="header6.xml"/><Relationship Id="rId40" Type="http://schemas.openxmlformats.org/officeDocument/2006/relationships/footer" Target="footer4.xml"/><Relationship Id="rId41" Type="http://schemas.openxmlformats.org/officeDocument/2006/relationships/footer" Target="footer5.xml"/><Relationship Id="rId42" Type="http://schemas.openxmlformats.org/officeDocument/2006/relationships/footer" Target="footer6.xml"/><Relationship Id="rId43" Type="http://schemas.openxmlformats.org/officeDocument/2006/relationships/numbering" Target="numbering.xml"/><Relationship Id="rId44" Type="http://schemas.openxmlformats.org/officeDocument/2006/relationships/fontTable" Target="fontTable.xml"/><Relationship Id="rId45" Type="http://schemas.openxmlformats.org/officeDocument/2006/relationships/settings" Target="settings.xml"/><Relationship Id="rId46" Type="http://schemas.openxmlformats.org/officeDocument/2006/relationships/theme" Target="theme/theme1.xml"/><Relationship Id="rId47" Type="http://schemas.openxmlformats.org/officeDocument/2006/relationships/customXml" Target="../customXml/item1.xml"/>
</Relationships>
</file>

<file path=word/theme/theme1.xml><?xml version="1.0" encoding="utf-8"?>
<a:theme xmlns:a="http://schemas.openxmlformats.org/drawingml/2006/main" xmlns:r="http://schemas.openxmlformats.org/officeDocument/2006/relationships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 pitchFamily="0" charset="1"/>
        <a:ea typeface=""/>
        <a:cs typeface=""/>
      </a:majorFont>
      <a:minorFont>
        <a:latin typeface="Calibri" panose="020F0502020204030204" pitchFamily="0" charset="1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 l="0" t="0" r="0" b="0"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 l="0" t="0" r="0" b="0"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 l="0" t="0" r="0" b="0"/>
        </a:gradFill>
      </a:bgFillStyleLst>
    </a:fmtScheme>
  </a:themeElements>
</a:theme>
</file>

<file path=customXml/_rels/item1.xml.rels><?xml version="1.0" encoding="UTF-8"?>
<Relationships xmlns="http://schemas.openxmlformats.org/package/2006/relationships"><Relationship Id="rId1" Type="http://schemas.openxmlformats.org/officeDocument/2006/relationships/customXmlProps" Target="itemProps1.xml"/>
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F5A25A2-94A5-4E50-9E6E-C01E52F248C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673</TotalTime>
  <Application>LibreOffice/25.2.7.2$Windows_X86_64 LibreOffice_project/5cbfd1ab6520636bb5f7b99185aa69bd7456825d</Application>
  <AppVersion>15.0000</AppVersion>
  <Pages>55</Pages>
  <Words>7847</Words>
  <Characters>53661</Characters>
  <CharactersWithSpaces>61004</CharactersWithSpaces>
  <Paragraphs>667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2024-11-14T16:06:00Z</dcterms:created>
  <dc:creator>Zosia</dc:creator>
  <dc:description/>
  <dc:language>pl-PL</dc:language>
  <cp:lastModifiedBy/>
  <cp:lastPrinted>2025-11-27T14:17:39Z</cp:lastPrinted>
  <dcterms:modified xsi:type="dcterms:W3CDTF">2025-12-09T15:13:17Z</dcterms:modified>
  <cp:revision>50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